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9F48B" w14:textId="127BC368" w:rsidR="007D30CC" w:rsidRDefault="00AF31C4" w:rsidP="003A3698">
      <w:pPr>
        <w:jc w:val="center"/>
      </w:pPr>
      <w:r>
        <w:t>Draft</w:t>
      </w:r>
      <w:r w:rsidR="00124D11">
        <w:t xml:space="preserve"> </w:t>
      </w:r>
      <w:r w:rsidR="00305CAC">
        <w:t>Coor</w:t>
      </w:r>
      <w:bookmarkStart w:id="0" w:name="_GoBack"/>
      <w:bookmarkEnd w:id="0"/>
      <w:r w:rsidR="00305CAC">
        <w:t xml:space="preserve">dinated Assessment </w:t>
      </w:r>
      <w:r w:rsidR="00124D11">
        <w:t xml:space="preserve">Data Sharing Agreement and </w:t>
      </w:r>
      <w:r w:rsidR="00124D11" w:rsidRPr="00124D11">
        <w:t>Data Use Policy</w:t>
      </w:r>
    </w:p>
    <w:p w14:paraId="5597400D" w14:textId="2676C9A1" w:rsidR="005F43D7" w:rsidRDefault="00D305DC" w:rsidP="003A3698">
      <w:pPr>
        <w:jc w:val="center"/>
      </w:pPr>
      <w:r>
        <w:rPr>
          <w:b/>
        </w:rPr>
        <w:t>Sixth</w:t>
      </w:r>
      <w:r w:rsidR="00164E45">
        <w:rPr>
          <w:b/>
        </w:rPr>
        <w:t xml:space="preserve"> </w:t>
      </w:r>
      <w:r w:rsidR="00164E45" w:rsidRPr="00BC26EC">
        <w:rPr>
          <w:b/>
        </w:rPr>
        <w:t>DRAFT</w:t>
      </w:r>
    </w:p>
    <w:p w14:paraId="26811E79" w14:textId="4FDFFB9C" w:rsidR="00E554F8" w:rsidRDefault="002664F1" w:rsidP="002F4A39">
      <w:pPr>
        <w:jc w:val="center"/>
      </w:pPr>
      <w:r>
        <w:t xml:space="preserve">March </w:t>
      </w:r>
      <w:r w:rsidR="00D305DC">
        <w:t>28</w:t>
      </w:r>
      <w:r w:rsidR="00E554F8">
        <w:t>, 2014</w:t>
      </w:r>
    </w:p>
    <w:p w14:paraId="427AC313" w14:textId="77777777" w:rsidR="002F4A39" w:rsidRDefault="00AF31C4" w:rsidP="002F4A39">
      <w:pPr>
        <w:jc w:val="center"/>
      </w:pPr>
      <w:r>
        <w:t>Chris Wheaton</w:t>
      </w:r>
      <w:r w:rsidR="008239D7">
        <w:t>, StreamNet</w:t>
      </w:r>
    </w:p>
    <w:p w14:paraId="7A9A95CD" w14:textId="77777777" w:rsidR="00E554F8" w:rsidRDefault="00E554F8" w:rsidP="002F4A39">
      <w:pPr>
        <w:jc w:val="center"/>
      </w:pPr>
    </w:p>
    <w:p w14:paraId="1771DAE0" w14:textId="66567532" w:rsidR="00E554F8" w:rsidRDefault="00897442" w:rsidP="00E554F8">
      <w:r w:rsidRPr="00644E09">
        <w:rPr>
          <w:highlight w:val="yellow"/>
        </w:rPr>
        <w:t>This draft</w:t>
      </w:r>
      <w:r w:rsidR="002664F1">
        <w:rPr>
          <w:highlight w:val="yellow"/>
        </w:rPr>
        <w:t xml:space="preserve"> reflects</w:t>
      </w:r>
      <w:r w:rsidR="00A23543">
        <w:rPr>
          <w:highlight w:val="yellow"/>
        </w:rPr>
        <w:t xml:space="preserve"> changes made based on input at the CAPG meeting 3/13/14</w:t>
      </w:r>
      <w:r w:rsidR="00E554F8" w:rsidRPr="00644E09">
        <w:rPr>
          <w:highlight w:val="yellow"/>
        </w:rPr>
        <w:t>.</w:t>
      </w:r>
      <w:r w:rsidR="00A23543">
        <w:rPr>
          <w:highlight w:val="yellow"/>
        </w:rPr>
        <w:t xml:space="preserve"> Substantive changes include; restricting applicability </w:t>
      </w:r>
      <w:r w:rsidR="00D31640">
        <w:rPr>
          <w:highlight w:val="yellow"/>
        </w:rPr>
        <w:t xml:space="preserve">to </w:t>
      </w:r>
      <w:r w:rsidR="00A23543">
        <w:rPr>
          <w:highlight w:val="yellow"/>
        </w:rPr>
        <w:t>CA data and metrics only and requesting consensus and universal application on two issues.</w:t>
      </w:r>
      <w:r w:rsidR="00E554F8" w:rsidRPr="00644E09">
        <w:rPr>
          <w:highlight w:val="yellow"/>
        </w:rPr>
        <w:t xml:space="preserve">  Reviewers are asked to provide </w:t>
      </w:r>
      <w:r w:rsidR="004F27AB">
        <w:rPr>
          <w:highlight w:val="yellow"/>
        </w:rPr>
        <w:t xml:space="preserve">suggested </w:t>
      </w:r>
      <w:r w:rsidR="00E554F8" w:rsidRPr="00644E09">
        <w:rPr>
          <w:highlight w:val="yellow"/>
        </w:rPr>
        <w:t xml:space="preserve">edits and additional thoughts </w:t>
      </w:r>
      <w:r w:rsidR="004F27AB">
        <w:rPr>
          <w:highlight w:val="yellow"/>
        </w:rPr>
        <w:t xml:space="preserve">on </w:t>
      </w:r>
      <w:r w:rsidR="00E554F8" w:rsidRPr="00644E09">
        <w:rPr>
          <w:highlight w:val="yellow"/>
        </w:rPr>
        <w:t xml:space="preserve">content.  Send comments to Chris Wheaton, </w:t>
      </w:r>
      <w:hyperlink r:id="rId8" w:history="1">
        <w:r w:rsidR="00E554F8" w:rsidRPr="00644E09">
          <w:rPr>
            <w:rStyle w:val="Hyperlink"/>
            <w:highlight w:val="yellow"/>
          </w:rPr>
          <w:t>CWheaton@psmfc.org</w:t>
        </w:r>
      </w:hyperlink>
      <w:r w:rsidR="00E554F8" w:rsidRPr="00644E09">
        <w:rPr>
          <w:highlight w:val="yellow"/>
        </w:rPr>
        <w:t>.</w:t>
      </w:r>
    </w:p>
    <w:p w14:paraId="05E69187" w14:textId="77777777" w:rsidR="003A3698" w:rsidRDefault="003A3698"/>
    <w:p w14:paraId="7969ACD3" w14:textId="1261BB4A" w:rsidR="00E554F8" w:rsidRDefault="002238D8" w:rsidP="00C627B2">
      <w:r>
        <w:t>This Data S</w:t>
      </w:r>
      <w:r w:rsidR="00124D11">
        <w:t>haring Agreement (DSA)</w:t>
      </w:r>
      <w:r w:rsidR="007275C2">
        <w:t xml:space="preserve"> template</w:t>
      </w:r>
      <w:r w:rsidR="00124D11">
        <w:t xml:space="preserve"> </w:t>
      </w:r>
      <w:r>
        <w:t xml:space="preserve">is intended for use with </w:t>
      </w:r>
      <w:r w:rsidR="00305CAC">
        <w:t xml:space="preserve">Coordinated Assessment (CA) </w:t>
      </w:r>
      <w:r>
        <w:t xml:space="preserve">data sets that </w:t>
      </w:r>
      <w:r w:rsidR="00C57A62">
        <w:t xml:space="preserve">have passed QA, </w:t>
      </w:r>
      <w:r w:rsidR="002F4A39">
        <w:t xml:space="preserve">and </w:t>
      </w:r>
      <w:r w:rsidR="00C57A62">
        <w:t>are ready for dissemination</w:t>
      </w:r>
      <w:r>
        <w:t xml:space="preserve"> online through S</w:t>
      </w:r>
      <w:r w:rsidR="00C149A0">
        <w:t>treamNet</w:t>
      </w:r>
      <w:r w:rsidR="00D31640">
        <w:t xml:space="preserve"> or the proposed EPA node.</w:t>
      </w:r>
      <w:r w:rsidR="00C149A0">
        <w:t xml:space="preserve"> </w:t>
      </w:r>
      <w:r w:rsidR="0018608E">
        <w:t xml:space="preserve">The system would </w:t>
      </w:r>
      <w:r w:rsidR="002F4A39">
        <w:t xml:space="preserve">stipulate </w:t>
      </w:r>
      <w:r w:rsidR="00ED3ED3">
        <w:t>one of t</w:t>
      </w:r>
      <w:r w:rsidR="00A23543">
        <w:t>wo</w:t>
      </w:r>
      <w:r w:rsidR="00C70C55">
        <w:t xml:space="preserve"> </w:t>
      </w:r>
      <w:r w:rsidR="00ED3ED3">
        <w:t xml:space="preserve">possible </w:t>
      </w:r>
      <w:r w:rsidR="00AF31C4">
        <w:t xml:space="preserve">levels </w:t>
      </w:r>
      <w:r w:rsidR="007275C2">
        <w:t>for sharing</w:t>
      </w:r>
      <w:r w:rsidR="00AF31C4">
        <w:t xml:space="preserve">. </w:t>
      </w:r>
    </w:p>
    <w:p w14:paraId="6618111D" w14:textId="77777777" w:rsidR="00E554F8" w:rsidRDefault="00E554F8" w:rsidP="00C627B2"/>
    <w:p w14:paraId="51A78968" w14:textId="12E02F6C" w:rsidR="00FC4622" w:rsidRDefault="00AF31C4" w:rsidP="00CA1B3F">
      <w:r>
        <w:t xml:space="preserve">Under </w:t>
      </w:r>
      <w:r w:rsidRPr="00644E09">
        <w:rPr>
          <w:b/>
        </w:rPr>
        <w:t>level one</w:t>
      </w:r>
      <w:r>
        <w:t xml:space="preserve">, data users would be allowed </w:t>
      </w:r>
      <w:r w:rsidR="00492180">
        <w:t xml:space="preserve">free </w:t>
      </w:r>
      <w:r>
        <w:t xml:space="preserve">access under </w:t>
      </w:r>
      <w:r w:rsidR="0018608E">
        <w:t xml:space="preserve">a standard data use policy. </w:t>
      </w:r>
      <w:r w:rsidR="00D31640">
        <w:t>For d</w:t>
      </w:r>
      <w:r w:rsidR="007063B4">
        <w:t>ata posted on StreamNet or on the proposed EPA node, t</w:t>
      </w:r>
      <w:r w:rsidR="0018608E">
        <w:t>his</w:t>
      </w:r>
      <w:r>
        <w:t xml:space="preserve"> would be similar to the </w:t>
      </w:r>
      <w:r w:rsidR="00E276ED">
        <w:t xml:space="preserve">process used to </w:t>
      </w:r>
      <w:r>
        <w:t xml:space="preserve">access most data through </w:t>
      </w:r>
      <w:r w:rsidR="007063B4">
        <w:t xml:space="preserve">our website </w:t>
      </w:r>
      <w:r w:rsidR="00164E45">
        <w:t>currently</w:t>
      </w:r>
      <w:r>
        <w:t xml:space="preserve">. </w:t>
      </w:r>
      <w:r w:rsidR="00CA1B3F">
        <w:t xml:space="preserve">At this level </w:t>
      </w:r>
      <w:r w:rsidR="007275C2">
        <w:t xml:space="preserve">StreamNet </w:t>
      </w:r>
      <w:r w:rsidR="00CA1B3F">
        <w:t>w</w:t>
      </w:r>
      <w:r w:rsidR="00412840">
        <w:t xml:space="preserve">ould simply post the </w:t>
      </w:r>
      <w:r w:rsidR="00CA1B3F">
        <w:t xml:space="preserve">current data access </w:t>
      </w:r>
      <w:r w:rsidR="00412840">
        <w:t>policy on the StreamNet website (as PTAGIS does</w:t>
      </w:r>
      <w:r w:rsidR="00CA1B3F">
        <w:t>).</w:t>
      </w:r>
      <w:r w:rsidR="002F3B6C">
        <w:t xml:space="preserve"> </w:t>
      </w:r>
      <w:r w:rsidR="009A5C1F">
        <w:t xml:space="preserve">Data contributors would be expected to comply with </w:t>
      </w:r>
      <w:r w:rsidR="00E276ED">
        <w:t xml:space="preserve">posted basic </w:t>
      </w:r>
      <w:r w:rsidR="009A5C1F">
        <w:t>standards for data quality, review, etc.</w:t>
      </w:r>
      <w:r w:rsidR="002F3B6C">
        <w:t xml:space="preserve"> </w:t>
      </w:r>
      <w:r w:rsidR="00E276ED">
        <w:t>Data users would be expected to comply with posted basic standards on use.</w:t>
      </w:r>
      <w:r w:rsidR="0018608E">
        <w:t xml:space="preserve"> </w:t>
      </w:r>
      <w:r w:rsidR="00A23543">
        <w:t>StreamNet can implement this level either with or without a basic “acknowledgement”</w:t>
      </w:r>
      <w:r w:rsidR="007063B4">
        <w:t xml:space="preserve"> step. If </w:t>
      </w:r>
      <w:r w:rsidR="005143EC">
        <w:t>acknowledgement</w:t>
      </w:r>
      <w:r w:rsidR="007063B4">
        <w:t xml:space="preserve"> is desired,</w:t>
      </w:r>
      <w:r w:rsidR="00A23543">
        <w:t xml:space="preserve"> t</w:t>
      </w:r>
      <w:r w:rsidR="00FC4622">
        <w:t>he</w:t>
      </w:r>
      <w:r w:rsidR="00FC4622" w:rsidRPr="00FC4622">
        <w:t xml:space="preserve"> </w:t>
      </w:r>
      <w:r w:rsidR="00FC4622">
        <w:t>data user would access the site, enter into one or more interactions where they were told about the data use policy, and upon clicking an “accept” or “agree” acknowledgement, would then be allowed access.</w:t>
      </w:r>
      <w:r w:rsidR="007063B4">
        <w:t xml:space="preserve"> We propose not having</w:t>
      </w:r>
      <w:r w:rsidR="00A23543">
        <w:t xml:space="preserve"> such a step, but if group consensus is that we need one, that is easily implemented. However, we propose that all level 1 CA data be accessible in the same way.</w:t>
      </w:r>
      <w:r w:rsidR="007063B4">
        <w:t xml:space="preserve"> </w:t>
      </w:r>
      <w:r w:rsidR="007063B4" w:rsidRPr="004B5F41">
        <w:rPr>
          <w:color w:val="FF0000"/>
        </w:rPr>
        <w:t>A decision is needed on this issue.</w:t>
      </w:r>
    </w:p>
    <w:p w14:paraId="234F4ABA" w14:textId="77777777" w:rsidR="00FC4622" w:rsidRDefault="00FC4622" w:rsidP="00CA1B3F"/>
    <w:p w14:paraId="33F28349" w14:textId="7AD96357" w:rsidR="00A23543" w:rsidRPr="004B5F41" w:rsidRDefault="0018608E" w:rsidP="00A23543">
      <w:pPr>
        <w:rPr>
          <w:color w:val="FF0000"/>
        </w:rPr>
      </w:pPr>
      <w:r w:rsidRPr="00644E09">
        <w:rPr>
          <w:b/>
        </w:rPr>
        <w:t xml:space="preserve">Level </w:t>
      </w:r>
      <w:r w:rsidR="00A23543">
        <w:rPr>
          <w:b/>
        </w:rPr>
        <w:t>two</w:t>
      </w:r>
      <w:r w:rsidR="00C627B2">
        <w:t xml:space="preserve"> </w:t>
      </w:r>
      <w:r>
        <w:t>would allow data contributors</w:t>
      </w:r>
      <w:r w:rsidR="00F4330A">
        <w:t xml:space="preserve"> to impose </w:t>
      </w:r>
      <w:r w:rsidR="00A23543">
        <w:t xml:space="preserve">restricted access to specific data fields in </w:t>
      </w:r>
      <w:r w:rsidR="00D31640">
        <w:t xml:space="preserve">any of </w:t>
      </w:r>
      <w:r w:rsidR="00A23543">
        <w:t xml:space="preserve">the CA DES. We are proposing that </w:t>
      </w:r>
      <w:r w:rsidR="0073543F">
        <w:t xml:space="preserve">data contributors develop consensus around the specific fields in each DES where restrictions will be imposed, and that the restricted, level 2 access be consistent across all data for those specific fields. This is </w:t>
      </w:r>
      <w:r w:rsidR="002664F1">
        <w:t>because</w:t>
      </w:r>
      <w:r w:rsidR="00A23543">
        <w:t xml:space="preserve"> data users might be confronted with a situation where the same type of data </w:t>
      </w:r>
      <w:r w:rsidR="0073543F">
        <w:t>c</w:t>
      </w:r>
      <w:r w:rsidR="00A23543">
        <w:t xml:space="preserve">ould </w:t>
      </w:r>
      <w:r w:rsidR="0073543F">
        <w:t>have different</w:t>
      </w:r>
      <w:r w:rsidR="00A23543">
        <w:t xml:space="preserve"> access levels with </w:t>
      </w:r>
      <w:r w:rsidR="002664F1">
        <w:t>repeated</w:t>
      </w:r>
      <w:r w:rsidR="00A23543">
        <w:t xml:space="preserve"> and potentially confusing access </w:t>
      </w:r>
      <w:r w:rsidR="0073543F">
        <w:t>restrictions applied if each cooperator independently is choosing the data fields to restrict. W</w:t>
      </w:r>
      <w:r w:rsidR="00A23543">
        <w:t>e recommend that access levels for different fields in the CA DES be set for everyone at the same level, which would be developed by consensus. Because these fields are primarily derived data that have been through</w:t>
      </w:r>
      <w:r w:rsidR="0073543F">
        <w:t xml:space="preserve"> multiple levels of review, we suggest that the level for all fields </w:t>
      </w:r>
      <w:r w:rsidR="00A23543">
        <w:t xml:space="preserve">be a consistent </w:t>
      </w:r>
      <w:r w:rsidR="0073543F">
        <w:t>level 1</w:t>
      </w:r>
      <w:r w:rsidR="00A23543">
        <w:t>, but if consensus determined th</w:t>
      </w:r>
      <w:r w:rsidR="0073543F">
        <w:t>at some fields should be level 2, this can</w:t>
      </w:r>
      <w:r w:rsidR="00A23543">
        <w:t xml:space="preserve"> be accom</w:t>
      </w:r>
      <w:r w:rsidR="0073543F">
        <w:t>m</w:t>
      </w:r>
      <w:r w:rsidR="00A23543">
        <w:t xml:space="preserve">odated. </w:t>
      </w:r>
      <w:r w:rsidR="00D31640" w:rsidRPr="004B5F41">
        <w:rPr>
          <w:color w:val="FF0000"/>
        </w:rPr>
        <w:t xml:space="preserve">A </w:t>
      </w:r>
      <w:r w:rsidR="00D31640">
        <w:rPr>
          <w:color w:val="FF0000"/>
        </w:rPr>
        <w:t xml:space="preserve">consensus </w:t>
      </w:r>
      <w:r w:rsidR="00D31640" w:rsidRPr="004B5F41">
        <w:rPr>
          <w:color w:val="FF0000"/>
        </w:rPr>
        <w:t>decision is needed designating any restricted access data fields in each DES.</w:t>
      </w:r>
    </w:p>
    <w:p w14:paraId="79A34675" w14:textId="77777777" w:rsidR="00A23543" w:rsidRDefault="00A23543" w:rsidP="00A23543"/>
    <w:p w14:paraId="07D2E687" w14:textId="58FAB118" w:rsidR="00D31640" w:rsidRDefault="00A23543" w:rsidP="00D31640">
      <w:r>
        <w:t xml:space="preserve">If certain CA DES data fields will be labeled </w:t>
      </w:r>
      <w:r w:rsidR="0073543F">
        <w:t>l</w:t>
      </w:r>
      <w:r>
        <w:t>evel</w:t>
      </w:r>
      <w:r w:rsidR="0073543F">
        <w:t xml:space="preserve"> 2</w:t>
      </w:r>
      <w:r>
        <w:t xml:space="preserve">, </w:t>
      </w:r>
      <w:r w:rsidR="00D31640">
        <w:t>each agency or tribe will need</w:t>
      </w:r>
      <w:r>
        <w:t xml:space="preserve"> to </w:t>
      </w:r>
      <w:r w:rsidR="0073543F">
        <w:t xml:space="preserve">provide </w:t>
      </w:r>
      <w:r w:rsidR="00D31640">
        <w:t xml:space="preserve">their own </w:t>
      </w:r>
      <w:r w:rsidR="0073543F">
        <w:t>Data Sharing Agreement</w:t>
      </w:r>
      <w:r w:rsidR="00D305DC">
        <w:t xml:space="preserve"> or limitation of use language</w:t>
      </w:r>
      <w:r w:rsidR="00D31640">
        <w:t xml:space="preserve">. Contributors </w:t>
      </w:r>
      <w:r w:rsidR="00D31640">
        <w:lastRenderedPageBreak/>
        <w:t>implementing restrictions could base their language on their own existing state, agency, or tribal policy. The data contributor could choose to define parameters including the appropriate and/or inappro</w:t>
      </w:r>
      <w:r w:rsidR="00D305DC">
        <w:t xml:space="preserve">priate uses for the data set. </w:t>
      </w:r>
      <w:r w:rsidR="00D31640">
        <w:t xml:space="preserve">If a funding agency had the need, they could work out specific data sharing agreement language and requirements that they could ask all of their contractors to comply with. Any issues involving disagreement over data sharing would be a contractual issue between funder and contractor. </w:t>
      </w:r>
    </w:p>
    <w:p w14:paraId="40E26B6F" w14:textId="77777777" w:rsidR="00D31640" w:rsidRDefault="00D31640" w:rsidP="00D31640"/>
    <w:p w14:paraId="49406979" w14:textId="7226A124" w:rsidR="00A23543" w:rsidRDefault="0073543F" w:rsidP="00A23543">
      <w:r>
        <w:t>When accessing level 2 data, the data user would be asked to acknowledge acceptance of the terms of all the agreements on file</w:t>
      </w:r>
      <w:r w:rsidR="002664F1">
        <w:t xml:space="preserve"> through a check box acknowledgement step. </w:t>
      </w:r>
      <w:r w:rsidR="00A23543">
        <w:t>By accepting the DSA, the requester would acknowledge that they understand the applicable agreement</w:t>
      </w:r>
      <w:r w:rsidR="002664F1">
        <w:t>s</w:t>
      </w:r>
      <w:r w:rsidR="00A23543">
        <w:t xml:space="preserve"> and agree to the terms and conditions specified by </w:t>
      </w:r>
      <w:r w:rsidR="002664F1">
        <w:t xml:space="preserve">any </w:t>
      </w:r>
      <w:r w:rsidR="00D31640">
        <w:t xml:space="preserve">and all </w:t>
      </w:r>
      <w:r w:rsidR="002664F1">
        <w:t xml:space="preserve">of </w:t>
      </w:r>
      <w:r w:rsidR="00A23543">
        <w:t>the data contributor</w:t>
      </w:r>
      <w:r w:rsidR="002664F1">
        <w:t>s</w:t>
      </w:r>
      <w:r w:rsidR="00A23543">
        <w:t xml:space="preserve">. </w:t>
      </w:r>
      <w:r w:rsidR="002664F1">
        <w:t>Failure to acknowledge acceptance by clicking an “accept” or “agree” acknowledgement would cause the data to remain inaccessible. At that point the potential data user would be directed to a list of contacts for further discussion.</w:t>
      </w:r>
    </w:p>
    <w:p w14:paraId="471B333A" w14:textId="77777777" w:rsidR="00A23543" w:rsidRDefault="00A23543" w:rsidP="00AF31C4"/>
    <w:p w14:paraId="1D35AA27" w14:textId="77777777" w:rsidR="002D4442" w:rsidRDefault="002D4442"/>
    <w:p w14:paraId="15BDFDE4" w14:textId="77777777" w:rsidR="009A5C1F" w:rsidRDefault="009A5C1F" w:rsidP="00861A38"/>
    <w:p w14:paraId="34C1D6BD" w14:textId="77777777" w:rsidR="008D6AF9" w:rsidRDefault="008D6A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3210"/>
        <w:gridCol w:w="3364"/>
      </w:tblGrid>
      <w:tr w:rsidR="00775B9B" w14:paraId="5FE5B564" w14:textId="77777777" w:rsidTr="004B5F41">
        <w:tc>
          <w:tcPr>
            <w:tcW w:w="2056" w:type="dxa"/>
          </w:tcPr>
          <w:p w14:paraId="0B57F25F" w14:textId="77777777" w:rsidR="00775B9B" w:rsidRPr="00D16BF6" w:rsidRDefault="00775B9B">
            <w:pPr>
              <w:rPr>
                <w:b/>
              </w:rPr>
            </w:pPr>
          </w:p>
        </w:tc>
        <w:tc>
          <w:tcPr>
            <w:tcW w:w="3210" w:type="dxa"/>
            <w:shd w:val="clear" w:color="auto" w:fill="auto"/>
          </w:tcPr>
          <w:p w14:paraId="47F9D498" w14:textId="77777777" w:rsidR="00775B9B" w:rsidRPr="00A50C61" w:rsidRDefault="00775B9B">
            <w:r w:rsidRPr="00D16BF6">
              <w:rPr>
                <w:b/>
              </w:rPr>
              <w:t>Input</w:t>
            </w:r>
            <w:r w:rsidRPr="00A50C61">
              <w:t xml:space="preserve"> to DSA form (to be filled out by data </w:t>
            </w:r>
            <w:r>
              <w:t>contributor</w:t>
            </w:r>
            <w:r w:rsidRPr="00A50C61">
              <w:t>/creator</w:t>
            </w:r>
            <w:r>
              <w:t>/provider</w:t>
            </w:r>
            <w:r w:rsidRPr="00A50C61">
              <w:t>)</w:t>
            </w:r>
          </w:p>
        </w:tc>
        <w:tc>
          <w:tcPr>
            <w:tcW w:w="3364" w:type="dxa"/>
            <w:shd w:val="clear" w:color="auto" w:fill="auto"/>
          </w:tcPr>
          <w:p w14:paraId="565D99E4" w14:textId="77777777" w:rsidR="00775B9B" w:rsidRPr="00A50C61" w:rsidRDefault="00775B9B" w:rsidP="00A50C61">
            <w:r w:rsidRPr="00D16BF6">
              <w:rPr>
                <w:b/>
              </w:rPr>
              <w:t>Output</w:t>
            </w:r>
            <w:r w:rsidRPr="00A50C61">
              <w:t xml:space="preserve"> – what data requester sees on </w:t>
            </w:r>
            <w:r>
              <w:t xml:space="preserve">the </w:t>
            </w:r>
            <w:r w:rsidRPr="00A50C61">
              <w:t xml:space="preserve">website, or </w:t>
            </w:r>
            <w:r>
              <w:t xml:space="preserve">when </w:t>
            </w:r>
            <w:r w:rsidRPr="00A50C61">
              <w:t>clicks ‘Download’</w:t>
            </w:r>
          </w:p>
        </w:tc>
      </w:tr>
      <w:tr w:rsidR="00775B9B" w14:paraId="42CB96B1" w14:textId="77777777" w:rsidTr="004B5F41">
        <w:tc>
          <w:tcPr>
            <w:tcW w:w="2056" w:type="dxa"/>
          </w:tcPr>
          <w:p w14:paraId="0A6C96F2" w14:textId="77777777" w:rsidR="00775B9B" w:rsidRDefault="009A5C1F" w:rsidP="00245C56">
            <w:pPr>
              <w:rPr>
                <w:b/>
              </w:rPr>
            </w:pPr>
            <w:r>
              <w:rPr>
                <w:b/>
              </w:rPr>
              <w:t xml:space="preserve">Level 1: </w:t>
            </w:r>
            <w:r w:rsidR="00775B9B">
              <w:rPr>
                <w:b/>
              </w:rPr>
              <w:t>Open Access</w:t>
            </w:r>
            <w:r w:rsidR="00D31640">
              <w:rPr>
                <w:b/>
              </w:rPr>
              <w:t xml:space="preserve"> </w:t>
            </w:r>
            <w:r w:rsidR="00D31640" w:rsidRPr="004B5F41">
              <w:rPr>
                <w:b/>
                <w:color w:val="FF0000"/>
              </w:rPr>
              <w:t>or</w:t>
            </w:r>
            <w:r w:rsidR="00D31640">
              <w:rPr>
                <w:b/>
              </w:rPr>
              <w:t xml:space="preserve"> Basic DSA with user acknowledgement</w:t>
            </w:r>
          </w:p>
          <w:p w14:paraId="02E77EAF" w14:textId="77777777" w:rsidR="00775B9B" w:rsidRPr="00775B9B" w:rsidRDefault="00775B9B" w:rsidP="00245C56">
            <w:pPr>
              <w:rPr>
                <w:b/>
              </w:rPr>
            </w:pPr>
          </w:p>
        </w:tc>
        <w:tc>
          <w:tcPr>
            <w:tcW w:w="3210" w:type="dxa"/>
            <w:shd w:val="clear" w:color="auto" w:fill="auto"/>
          </w:tcPr>
          <w:p w14:paraId="05F3BEF8" w14:textId="77777777" w:rsidR="00775B9B" w:rsidRDefault="00775B9B" w:rsidP="002515C1">
            <w:r>
              <w:t>Anyone may download.  No stipulations</w:t>
            </w:r>
            <w:r w:rsidR="002F3B6C">
              <w:t xml:space="preserve"> for required interaction with consumers are</w:t>
            </w:r>
            <w:r>
              <w:t xml:space="preserve"> necessary. See StreamNet Data Use Policy</w:t>
            </w:r>
          </w:p>
        </w:tc>
        <w:tc>
          <w:tcPr>
            <w:tcW w:w="3364" w:type="dxa"/>
            <w:shd w:val="clear" w:color="auto" w:fill="auto"/>
          </w:tcPr>
          <w:p w14:paraId="72F1D6D5" w14:textId="62A07613" w:rsidR="00775B9B" w:rsidRDefault="00DB398F" w:rsidP="00D305DC">
            <w:r>
              <w:t xml:space="preserve">See StreamNet Data Use Policy. Users </w:t>
            </w:r>
            <w:r w:rsidR="002515C1">
              <w:t xml:space="preserve">are free to use the data </w:t>
            </w:r>
            <w:r w:rsidR="00D305DC">
              <w:t xml:space="preserve">as specified in the policy without further acknowledgement </w:t>
            </w:r>
            <w:r w:rsidR="005143EC" w:rsidRPr="004B5F41">
              <w:rPr>
                <w:color w:val="FF0000"/>
              </w:rPr>
              <w:t xml:space="preserve">or </w:t>
            </w:r>
            <w:r w:rsidR="00D31640">
              <w:t>Data users acknowledge policy and basic data sharing agreement by “clicking” before access</w:t>
            </w:r>
          </w:p>
        </w:tc>
      </w:tr>
      <w:tr w:rsidR="00775B9B" w14:paraId="0E0FF4CE" w14:textId="77777777" w:rsidTr="004B5F41">
        <w:tc>
          <w:tcPr>
            <w:tcW w:w="2056" w:type="dxa"/>
          </w:tcPr>
          <w:p w14:paraId="532821A3" w14:textId="66A3C190" w:rsidR="00775B9B" w:rsidRPr="00775B9B" w:rsidRDefault="009A5C1F" w:rsidP="0070523D">
            <w:pPr>
              <w:rPr>
                <w:b/>
              </w:rPr>
            </w:pPr>
            <w:r>
              <w:rPr>
                <w:b/>
              </w:rPr>
              <w:t xml:space="preserve">Level </w:t>
            </w:r>
            <w:r w:rsidR="005143EC">
              <w:rPr>
                <w:b/>
              </w:rPr>
              <w:t>2</w:t>
            </w:r>
            <w:r>
              <w:rPr>
                <w:b/>
              </w:rPr>
              <w:t xml:space="preserve">: </w:t>
            </w:r>
            <w:r w:rsidR="00775B9B" w:rsidRPr="00852360">
              <w:rPr>
                <w:b/>
              </w:rPr>
              <w:t>Restricted DSA</w:t>
            </w:r>
            <w:r w:rsidR="00FD56BD">
              <w:rPr>
                <w:b/>
              </w:rPr>
              <w:t xml:space="preserve"> with user acknowledgement</w:t>
            </w:r>
          </w:p>
        </w:tc>
        <w:tc>
          <w:tcPr>
            <w:tcW w:w="3210" w:type="dxa"/>
            <w:shd w:val="clear" w:color="auto" w:fill="auto"/>
          </w:tcPr>
          <w:p w14:paraId="459F3C90" w14:textId="429578D2" w:rsidR="00775B9B" w:rsidRDefault="005143EC">
            <w:r>
              <w:t>C</w:t>
            </w:r>
            <w:r w:rsidR="00775B9B">
              <w:t>ustomized DSA</w:t>
            </w:r>
            <w:r>
              <w:t>s</w:t>
            </w:r>
            <w:r w:rsidR="00775B9B">
              <w:t xml:space="preserve">, with language provided in a file by the data contributor, is linked to </w:t>
            </w:r>
            <w:r>
              <w:t xml:space="preserve">access to specified data fields in each DES. </w:t>
            </w:r>
            <w:r w:rsidR="008B3A2B">
              <w:t xml:space="preserve">Any contractual requirements imposed are the responsibility of the contributor to include in the DSA. </w:t>
            </w:r>
            <w:r w:rsidR="00775B9B">
              <w:t>If this option is chosen, data users would have to acknowledge agreement before accessing data</w:t>
            </w:r>
            <w:r w:rsidR="002E172F">
              <w:t>.</w:t>
            </w:r>
          </w:p>
        </w:tc>
        <w:tc>
          <w:tcPr>
            <w:tcW w:w="3364" w:type="dxa"/>
            <w:shd w:val="clear" w:color="auto" w:fill="auto"/>
          </w:tcPr>
          <w:p w14:paraId="08E32BB2" w14:textId="1709A562" w:rsidR="00775B9B" w:rsidRDefault="009A5C1F">
            <w:r>
              <w:t>U</w:t>
            </w:r>
            <w:r w:rsidR="00775B9B">
              <w:t xml:space="preserve">pon a request for </w:t>
            </w:r>
            <w:r w:rsidR="005143EC">
              <w:t>access to certain restricted data fields in each DES</w:t>
            </w:r>
            <w:r w:rsidR="00775B9B">
              <w:t xml:space="preserve">, the data sharing agreement text </w:t>
            </w:r>
            <w:r w:rsidR="005143EC">
              <w:t xml:space="preserve">for all agencies and tribes </w:t>
            </w:r>
            <w:r w:rsidR="00775B9B">
              <w:t xml:space="preserve">would </w:t>
            </w:r>
            <w:r w:rsidR="005143EC">
              <w:t xml:space="preserve">be shown to the data user and </w:t>
            </w:r>
            <w:r w:rsidR="00775B9B">
              <w:t xml:space="preserve">would require agreement by the user before proceeding.  If this option is chosen, and agreement was not forthcoming, the user would be directed to </w:t>
            </w:r>
            <w:r w:rsidR="005143EC">
              <w:t xml:space="preserve">a list of </w:t>
            </w:r>
            <w:r w:rsidR="00775B9B">
              <w:t>contact</w:t>
            </w:r>
            <w:r w:rsidR="005143EC">
              <w:t>s</w:t>
            </w:r>
            <w:r w:rsidR="00775B9B">
              <w:t xml:space="preserve">, and access to the data through the repository would be denied. </w:t>
            </w:r>
          </w:p>
        </w:tc>
      </w:tr>
    </w:tbl>
    <w:p w14:paraId="152F2B9A" w14:textId="77777777" w:rsidR="005268A9" w:rsidRDefault="005268A9"/>
    <w:p w14:paraId="4DA85F3A" w14:textId="2410E80F" w:rsidR="0064319A" w:rsidRDefault="00861A38">
      <w:r>
        <w:t>Note; for d</w:t>
      </w:r>
      <w:r w:rsidR="0064319A">
        <w:t>ata sets that include sensitive information (such as private personal information, detail</w:t>
      </w:r>
      <w:r w:rsidR="009158CE">
        <w:t>ed</w:t>
      </w:r>
      <w:r w:rsidR="0064319A">
        <w:t xml:space="preserve"> locations of endange</w:t>
      </w:r>
      <w:r w:rsidR="00CE18F5">
        <w:t>red species, etc.),</w:t>
      </w:r>
      <w:r w:rsidR="0064319A">
        <w:t xml:space="preserve"> </w:t>
      </w:r>
      <w:r w:rsidR="009158CE">
        <w:t xml:space="preserve">the data set </w:t>
      </w:r>
      <w:r w:rsidR="00CE18F5">
        <w:t xml:space="preserve">could either be </w:t>
      </w:r>
      <w:r w:rsidR="00CE18F5">
        <w:lastRenderedPageBreak/>
        <w:t xml:space="preserve">treated </w:t>
      </w:r>
      <w:r w:rsidR="0064319A">
        <w:t xml:space="preserve">as </w:t>
      </w:r>
      <w:r w:rsidR="003B5183">
        <w:t xml:space="preserve">level </w:t>
      </w:r>
      <w:r w:rsidR="005143EC">
        <w:t>2</w:t>
      </w:r>
      <w:r w:rsidR="0064319A">
        <w:t xml:space="preserve"> or two data sets</w:t>
      </w:r>
      <w:r w:rsidR="00CE18F5">
        <w:t xml:space="preserve"> could be uploaded</w:t>
      </w:r>
      <w:r w:rsidR="0064319A">
        <w:t xml:space="preserve">, one </w:t>
      </w:r>
      <w:r w:rsidR="003B5183">
        <w:t xml:space="preserve">level </w:t>
      </w:r>
      <w:r w:rsidR="005143EC">
        <w:t>2</w:t>
      </w:r>
      <w:r w:rsidR="0064319A">
        <w:t xml:space="preserve"> a</w:t>
      </w:r>
      <w:r w:rsidR="00CE18F5">
        <w:t xml:space="preserve">nd the other </w:t>
      </w:r>
      <w:r w:rsidR="005143EC">
        <w:t>level 1</w:t>
      </w:r>
      <w:r w:rsidR="00CE18F5">
        <w:t xml:space="preserve"> with the sensitive data removed</w:t>
      </w:r>
      <w:r w:rsidR="0064319A">
        <w:t>.</w:t>
      </w:r>
    </w:p>
    <w:p w14:paraId="4ED6FE2B" w14:textId="2F9C8886" w:rsidR="00E276ED" w:rsidRDefault="00E276ED" w:rsidP="00E276ED">
      <w:r>
        <w:t>Please note that a disclaimer for any liability incurred by imposition of the policy, and for enforcement responsibility of the policy by the data repository manager and funding agency, will need to be applied.</w:t>
      </w:r>
      <w:r w:rsidRPr="00FC4622">
        <w:t xml:space="preserve"> </w:t>
      </w:r>
      <w:r>
        <w:t>StreamNet would endeavor to design and maintain access to the data for only those that agreed to comply with the agreements for each data set, but would not accept any liability for</w:t>
      </w:r>
      <w:r w:rsidR="00DB398F">
        <w:t xml:space="preserve"> the legality of any DSA, for any compliance failure</w:t>
      </w:r>
      <w:r>
        <w:t>, or any ownership of an enforcement function. Any requirements imposed for data sharing by an agency or funding entity would be a contractual matter and not the purview of StreamNet.</w:t>
      </w:r>
    </w:p>
    <w:p w14:paraId="28E1883F" w14:textId="77777777" w:rsidR="00E276ED" w:rsidRDefault="00E276ED"/>
    <w:p w14:paraId="6F349D72" w14:textId="77777777" w:rsidR="008936FF" w:rsidRDefault="008936FF"/>
    <w:p w14:paraId="5088FFF8" w14:textId="77777777" w:rsidR="00DF756E" w:rsidRDefault="00DF756E" w:rsidP="003A3698">
      <w:r>
        <w:t>---------------------------</w:t>
      </w:r>
      <w:r w:rsidR="006B29C2">
        <w:t>-</w:t>
      </w:r>
    </w:p>
    <w:p w14:paraId="32D0BA1E" w14:textId="4479FBB4" w:rsidR="009131AF" w:rsidRDefault="009131AF" w:rsidP="003F3F4A">
      <w:pPr>
        <w:pStyle w:val="Heading1"/>
      </w:pPr>
      <w:r w:rsidRPr="003A5E6B">
        <w:rPr>
          <w:highlight w:val="yellow"/>
        </w:rPr>
        <w:t xml:space="preserve">Draft </w:t>
      </w:r>
      <w:r w:rsidR="00E276ED">
        <w:rPr>
          <w:highlight w:val="yellow"/>
        </w:rPr>
        <w:t xml:space="preserve">General </w:t>
      </w:r>
      <w:r w:rsidRPr="003A5E6B">
        <w:rPr>
          <w:highlight w:val="yellow"/>
        </w:rPr>
        <w:t>StreamNet</w:t>
      </w:r>
      <w:r>
        <w:rPr>
          <w:highlight w:val="yellow"/>
        </w:rPr>
        <w:t xml:space="preserve"> </w:t>
      </w:r>
      <w:r w:rsidR="00E276ED">
        <w:rPr>
          <w:highlight w:val="yellow"/>
        </w:rPr>
        <w:t xml:space="preserve">Data Sharing Agreement Language </w:t>
      </w:r>
      <w:r w:rsidR="008B3A2B">
        <w:rPr>
          <w:highlight w:val="yellow"/>
        </w:rPr>
        <w:t>Level One</w:t>
      </w:r>
      <w:r w:rsidRPr="003A5E6B">
        <w:rPr>
          <w:highlight w:val="yellow"/>
        </w:rPr>
        <w:t>:</w:t>
      </w:r>
    </w:p>
    <w:p w14:paraId="0C80CF64" w14:textId="77777777" w:rsidR="009131AF" w:rsidRDefault="009131AF" w:rsidP="009131AF"/>
    <w:p w14:paraId="44A0F589" w14:textId="77777777" w:rsidR="009131AF" w:rsidRPr="00AE4A3E" w:rsidRDefault="009131AF" w:rsidP="009131AF">
      <w:r>
        <w:t>The StreamNet</w:t>
      </w:r>
      <w:r w:rsidRPr="00AE4A3E">
        <w:t xml:space="preserve"> </w:t>
      </w:r>
      <w:r>
        <w:t xml:space="preserve">guidelines for </w:t>
      </w:r>
      <w:r w:rsidR="00FD56BD">
        <w:t xml:space="preserve">sharing and </w:t>
      </w:r>
      <w:r>
        <w:t>use of</w:t>
      </w:r>
      <w:r w:rsidRPr="00AE4A3E">
        <w:t xml:space="preserve"> </w:t>
      </w:r>
      <w:r>
        <w:t xml:space="preserve">StreamNet </w:t>
      </w:r>
      <w:r w:rsidRPr="00AE4A3E">
        <w:t>dataset</w:t>
      </w:r>
      <w:r>
        <w:t>s</w:t>
      </w:r>
      <w:r w:rsidR="008B3A2B">
        <w:t xml:space="preserve"> </w:t>
      </w:r>
      <w:r w:rsidRPr="00AE4A3E">
        <w:t>are as follows:</w:t>
      </w:r>
    </w:p>
    <w:p w14:paraId="6DF86A2D" w14:textId="77777777" w:rsidR="009131AF" w:rsidRPr="00AE4A3E" w:rsidRDefault="009131AF" w:rsidP="009131AF">
      <w:pPr>
        <w:spacing w:before="100" w:beforeAutospacing="1" w:after="100" w:afterAutospacing="1"/>
        <w:outlineLvl w:val="2"/>
        <w:rPr>
          <w:b/>
          <w:bCs/>
          <w:sz w:val="27"/>
          <w:szCs w:val="27"/>
        </w:rPr>
      </w:pPr>
      <w:r w:rsidRPr="00AE4A3E">
        <w:rPr>
          <w:b/>
          <w:bCs/>
          <w:sz w:val="27"/>
          <w:szCs w:val="27"/>
        </w:rPr>
        <w:t>Those who submit data:</w:t>
      </w:r>
    </w:p>
    <w:p w14:paraId="6E0E1F48" w14:textId="3FF3F729" w:rsidR="009F0816" w:rsidRDefault="009F0816" w:rsidP="009F0816">
      <w:pPr>
        <w:numPr>
          <w:ilvl w:val="0"/>
          <w:numId w:val="1"/>
        </w:numPr>
        <w:spacing w:before="100" w:beforeAutospacing="1" w:after="100" w:afterAutospacing="1"/>
      </w:pPr>
      <w:r>
        <w:t xml:space="preserve">All data in the StreamNet </w:t>
      </w:r>
      <w:r w:rsidRPr="00AE4A3E">
        <w:t xml:space="preserve">database </w:t>
      </w:r>
      <w:r w:rsidR="00225619">
        <w:t xml:space="preserve">have been reviewed by the </w:t>
      </w:r>
      <w:r>
        <w:t xml:space="preserve">appropriate </w:t>
      </w:r>
      <w:r w:rsidRPr="00AE4A3E">
        <w:t>Data Co</w:t>
      </w:r>
      <w:r w:rsidR="00FE7B3A">
        <w:t>ntributor</w:t>
      </w:r>
      <w:r w:rsidR="00225619">
        <w:t>, but may be updated at any time if revised information becomes available.</w:t>
      </w:r>
      <w:r w:rsidRPr="00AE4A3E">
        <w:t xml:space="preserve"> </w:t>
      </w:r>
    </w:p>
    <w:p w14:paraId="2ED2EC64" w14:textId="77777777" w:rsidR="009F0816" w:rsidRDefault="009131AF" w:rsidP="009F0816">
      <w:pPr>
        <w:numPr>
          <w:ilvl w:val="0"/>
          <w:numId w:val="1"/>
        </w:numPr>
        <w:spacing w:before="100" w:beforeAutospacing="1" w:after="100" w:afterAutospacing="1"/>
      </w:pPr>
      <w:r w:rsidRPr="00AE4A3E">
        <w:t>Data contributors recognize and accep</w:t>
      </w:r>
      <w:r>
        <w:t xml:space="preserve">t that data submitted to StreamNet </w:t>
      </w:r>
      <w:r w:rsidR="008B3A2B">
        <w:t xml:space="preserve">at level one </w:t>
      </w:r>
      <w:r w:rsidRPr="00AE4A3E">
        <w:t>are available to anyone</w:t>
      </w:r>
      <w:r>
        <w:t xml:space="preserve"> via the StreamNet </w:t>
      </w:r>
      <w:r w:rsidR="00792142">
        <w:t>website</w:t>
      </w:r>
      <w:r w:rsidR="00792142" w:rsidRPr="009F0816">
        <w:t>.</w:t>
      </w:r>
    </w:p>
    <w:p w14:paraId="6CC38D12" w14:textId="77777777" w:rsidR="009472D8" w:rsidRDefault="009472D8" w:rsidP="009472D8">
      <w:pPr>
        <w:numPr>
          <w:ilvl w:val="0"/>
          <w:numId w:val="1"/>
        </w:numPr>
        <w:spacing w:before="100" w:beforeAutospacing="1" w:after="100" w:afterAutospacing="1"/>
      </w:pPr>
      <w:r>
        <w:t>Data contributors are responsible for ensuring that t</w:t>
      </w:r>
      <w:r w:rsidR="00DB398F">
        <w:t>he general StreamNet</w:t>
      </w:r>
      <w:r>
        <w:t xml:space="preserve"> data use agreement is consistent with the applicable policies and rules of their own agencies and any contractual obligations of their projects.</w:t>
      </w:r>
    </w:p>
    <w:p w14:paraId="2507D617" w14:textId="77777777" w:rsidR="009F0816" w:rsidRDefault="009F0816" w:rsidP="009F0816">
      <w:pPr>
        <w:numPr>
          <w:ilvl w:val="0"/>
          <w:numId w:val="1"/>
        </w:numPr>
        <w:spacing w:before="100" w:beforeAutospacing="1" w:after="100" w:afterAutospacing="1"/>
      </w:pPr>
      <w:r w:rsidRPr="00AE4A3E">
        <w:t>Data contributors should ensure data accuracy</w:t>
      </w:r>
      <w:r>
        <w:t xml:space="preserve"> with a “QA/QC Validation” in publication of data in the StreamNet DataStore</w:t>
      </w:r>
      <w:r w:rsidRPr="00AE4A3E">
        <w:t xml:space="preserve">. </w:t>
      </w:r>
      <w:r>
        <w:t xml:space="preserve"> </w:t>
      </w:r>
      <w:r w:rsidR="009131AF">
        <w:t xml:space="preserve">  </w:t>
      </w:r>
      <w:r>
        <w:t>P</w:t>
      </w:r>
      <w:r w:rsidR="009131AF">
        <w:t>ublicatio</w:t>
      </w:r>
      <w:r w:rsidR="00C65BC3">
        <w:t>n with QA/QC</w:t>
      </w:r>
      <w:r>
        <w:t xml:space="preserve"> is a choice of the data owner</w:t>
      </w:r>
      <w:r w:rsidR="008B3A2B">
        <w:t>.</w:t>
      </w:r>
    </w:p>
    <w:p w14:paraId="38ACEF39" w14:textId="77777777" w:rsidR="009131AF" w:rsidRDefault="009131AF" w:rsidP="009131AF">
      <w:pPr>
        <w:numPr>
          <w:ilvl w:val="0"/>
          <w:numId w:val="1"/>
        </w:numPr>
        <w:spacing w:before="100" w:beforeAutospacing="1" w:after="100" w:afterAutospacing="1"/>
      </w:pPr>
      <w:r>
        <w:t>In most cases, data collection and management has occurred through the use of public funds and applicable federal, state, or tribal open records rules apply.</w:t>
      </w:r>
      <w:r w:rsidRPr="00592708">
        <w:t xml:space="preserve"> </w:t>
      </w:r>
      <w:r>
        <w:t xml:space="preserve">Data files </w:t>
      </w:r>
      <w:r w:rsidR="008B3A2B">
        <w:t>made available at level one meet open records standards for that data</w:t>
      </w:r>
      <w:r>
        <w:t>.</w:t>
      </w:r>
    </w:p>
    <w:p w14:paraId="5D622064" w14:textId="77777777" w:rsidR="009131AF" w:rsidRPr="00AE4A3E" w:rsidRDefault="009131AF" w:rsidP="009131AF">
      <w:pPr>
        <w:numPr>
          <w:ilvl w:val="0"/>
          <w:numId w:val="1"/>
        </w:numPr>
        <w:spacing w:before="100" w:beforeAutospacing="1" w:after="100" w:afterAutospacing="1"/>
      </w:pPr>
      <w:r w:rsidRPr="00AE4A3E">
        <w:t>Corrections, if necessary, should be made in a timely manner</w:t>
      </w:r>
      <w:r w:rsidR="008B3A2B">
        <w:t>. N</w:t>
      </w:r>
      <w:r>
        <w:t>otification</w:t>
      </w:r>
      <w:r w:rsidR="008B3A2B">
        <w:t xml:space="preserve"> of corrections and/or</w:t>
      </w:r>
      <w:r>
        <w:t xml:space="preserve"> data updates will</w:t>
      </w:r>
      <w:r w:rsidR="008B3A2B">
        <w:t xml:space="preserve"> be posted on the StreamNet website</w:t>
      </w:r>
      <w:r>
        <w:t>.</w:t>
      </w:r>
    </w:p>
    <w:p w14:paraId="18818F7F" w14:textId="77777777" w:rsidR="00FE7B3A" w:rsidRDefault="009131AF" w:rsidP="0070523D">
      <w:pPr>
        <w:numPr>
          <w:ilvl w:val="0"/>
          <w:numId w:val="1"/>
        </w:numPr>
        <w:spacing w:before="100" w:beforeAutospacing="1" w:after="100" w:afterAutospacing="1"/>
      </w:pPr>
      <w:r>
        <w:t xml:space="preserve">StreamNet, PSMFC, and BPA accept no responsibility or obligation to </w:t>
      </w:r>
      <w:r w:rsidR="00DB398F">
        <w:t xml:space="preserve">take any specific </w:t>
      </w:r>
      <w:r w:rsidR="00FE7B3A">
        <w:t>action should violation of these guidelines occur</w:t>
      </w:r>
      <w:r w:rsidR="00792142">
        <w:t>; but</w:t>
      </w:r>
      <w:r w:rsidR="00B87FA3">
        <w:t xml:space="preserve"> may take measures to further restrict access to ensure violations are not repeated</w:t>
      </w:r>
      <w:r w:rsidR="00FE7B3A">
        <w:t xml:space="preserve">. </w:t>
      </w:r>
      <w:r w:rsidR="00DB398F">
        <w:t xml:space="preserve"> </w:t>
      </w:r>
    </w:p>
    <w:p w14:paraId="3D6AB595" w14:textId="77777777" w:rsidR="009131AF" w:rsidRDefault="00FE7B3A" w:rsidP="0070523D">
      <w:pPr>
        <w:numPr>
          <w:ilvl w:val="0"/>
          <w:numId w:val="1"/>
        </w:numPr>
        <w:spacing w:before="100" w:beforeAutospacing="1" w:after="100" w:afterAutospacing="1"/>
      </w:pPr>
      <w:r>
        <w:t xml:space="preserve">Data contributors </w:t>
      </w:r>
      <w:r w:rsidR="009131AF">
        <w:t xml:space="preserve">have uploaded links to the Metadata records and associated publications that may discuss the limitations and proper use of the data. </w:t>
      </w:r>
    </w:p>
    <w:p w14:paraId="41C4E2AE" w14:textId="5E83204A" w:rsidR="00121634" w:rsidRPr="00E46BE1" w:rsidRDefault="00121634" w:rsidP="0070523D">
      <w:pPr>
        <w:numPr>
          <w:ilvl w:val="0"/>
          <w:numId w:val="1"/>
        </w:numPr>
        <w:spacing w:before="100" w:beforeAutospacing="1" w:after="100" w:afterAutospacing="1"/>
        <w:rPr>
          <w:color w:val="000000"/>
        </w:rPr>
      </w:pPr>
      <w:r w:rsidRPr="00E46BE1">
        <w:rPr>
          <w:color w:val="000000"/>
        </w:rPr>
        <w:t xml:space="preserve">If publication permissions are requested </w:t>
      </w:r>
      <w:r w:rsidR="00583E1E">
        <w:rPr>
          <w:color w:val="000000"/>
        </w:rPr>
        <w:t>contributors</w:t>
      </w:r>
      <w:r w:rsidRPr="00E46BE1">
        <w:rPr>
          <w:color w:val="000000"/>
        </w:rPr>
        <w:t xml:space="preserve"> have 90 days to respond to review requests.</w:t>
      </w:r>
    </w:p>
    <w:p w14:paraId="393906FA" w14:textId="77777777" w:rsidR="00502201" w:rsidRDefault="00502201" w:rsidP="00644E09">
      <w:pPr>
        <w:spacing w:before="100" w:beforeAutospacing="1" w:after="100" w:afterAutospacing="1"/>
        <w:outlineLvl w:val="2"/>
        <w:rPr>
          <w:b/>
          <w:bCs/>
          <w:sz w:val="27"/>
          <w:szCs w:val="27"/>
        </w:rPr>
      </w:pPr>
      <w:r w:rsidRPr="00AE4A3E">
        <w:rPr>
          <w:b/>
          <w:bCs/>
          <w:sz w:val="27"/>
          <w:szCs w:val="27"/>
        </w:rPr>
        <w:lastRenderedPageBreak/>
        <w:t>Those who use data:</w:t>
      </w:r>
    </w:p>
    <w:p w14:paraId="5BCD6F86" w14:textId="77777777" w:rsidR="00FE7B3A" w:rsidRDefault="00FE7B3A" w:rsidP="00FD56BD">
      <w:pPr>
        <w:spacing w:before="100" w:beforeAutospacing="1" w:after="100" w:afterAutospacing="1"/>
      </w:pPr>
      <w:r>
        <w:t>Data users should be careful to properly credit individuals and agencies when using data, and should follow reputable standards for the use and interpretation of scientific information.</w:t>
      </w:r>
    </w:p>
    <w:p w14:paraId="6A3736A6" w14:textId="677A92BE" w:rsidR="00452EB7" w:rsidRPr="00452EB7" w:rsidRDefault="00452EB7" w:rsidP="00452EB7">
      <w:pPr>
        <w:spacing w:before="100" w:beforeAutospacing="1" w:after="100" w:afterAutospacing="1"/>
      </w:pPr>
      <w:r w:rsidRPr="00452EB7">
        <w:t>Users must assume responsibility to determine the usability of the data for their purposes. Data users acknowledge the StreamNet database is dynamic. Records can be added, deleted and changed on a frequent basis.</w:t>
      </w:r>
    </w:p>
    <w:p w14:paraId="63387404" w14:textId="77777777" w:rsidR="00452EB7" w:rsidRDefault="00452EB7" w:rsidP="00FD56BD">
      <w:pPr>
        <w:spacing w:before="100" w:beforeAutospacing="1" w:after="100" w:afterAutospacing="1"/>
      </w:pPr>
    </w:p>
    <w:p w14:paraId="07C7A502" w14:textId="77777777" w:rsidR="00FD56BD" w:rsidRDefault="00FD56BD" w:rsidP="00FD56BD">
      <w:pPr>
        <w:spacing w:before="100" w:beforeAutospacing="1" w:after="100" w:afterAutospacing="1"/>
      </w:pPr>
      <w:r>
        <w:t>Before publication;</w:t>
      </w:r>
    </w:p>
    <w:p w14:paraId="1111F241" w14:textId="77777777" w:rsidR="00FD56BD" w:rsidRPr="00AE4A3E" w:rsidRDefault="00FD56BD" w:rsidP="00FD56BD">
      <w:pPr>
        <w:spacing w:before="100" w:beforeAutospacing="1" w:after="100" w:afterAutospacing="1"/>
      </w:pPr>
      <w:r w:rsidRPr="00AE4A3E">
        <w:t>The Data User is expected</w:t>
      </w:r>
      <w:r>
        <w:t xml:space="preserve"> to contact the appropriate </w:t>
      </w:r>
      <w:r w:rsidRPr="00AE4A3E">
        <w:t>Data Co</w:t>
      </w:r>
      <w:r>
        <w:t xml:space="preserve">ntributor and to maintain a record of contact via email and if necessary phone </w:t>
      </w:r>
      <w:r w:rsidRPr="00AE4A3E">
        <w:t xml:space="preserve">prior to significant use of data </w:t>
      </w:r>
      <w:r>
        <w:t>in any publication</w:t>
      </w:r>
      <w:r w:rsidRPr="00AE4A3E">
        <w:t xml:space="preserve"> in order to: </w:t>
      </w:r>
    </w:p>
    <w:p w14:paraId="788767C0" w14:textId="77777777" w:rsidR="00FD56BD" w:rsidRPr="00AE4A3E" w:rsidRDefault="00FD56BD" w:rsidP="00FD56BD">
      <w:pPr>
        <w:numPr>
          <w:ilvl w:val="0"/>
          <w:numId w:val="2"/>
        </w:numPr>
        <w:spacing w:before="100" w:beforeAutospacing="1" w:after="100" w:afterAutospacing="1"/>
      </w:pPr>
      <w:r w:rsidRPr="00AE4A3E">
        <w:t>Obtain verification</w:t>
      </w:r>
      <w:r>
        <w:t xml:space="preserve">, data use limitations </w:t>
      </w:r>
      <w:r w:rsidRPr="00AE4A3E">
        <w:t>and context for data</w:t>
      </w:r>
      <w:r>
        <w:t xml:space="preserve"> through metadata records</w:t>
      </w:r>
      <w:r w:rsidRPr="00AE4A3E">
        <w:t>.</w:t>
      </w:r>
    </w:p>
    <w:p w14:paraId="7DA41D2B" w14:textId="77777777" w:rsidR="00FD56BD" w:rsidRPr="00AE4A3E" w:rsidRDefault="00FD56BD" w:rsidP="00FD56BD">
      <w:pPr>
        <w:numPr>
          <w:ilvl w:val="0"/>
          <w:numId w:val="2"/>
        </w:numPr>
        <w:spacing w:before="100" w:beforeAutospacing="1" w:after="100" w:afterAutospacing="1"/>
      </w:pPr>
      <w:r w:rsidRPr="00AE4A3E">
        <w:t>Secure appropriate permissions prior to submission for publication</w:t>
      </w:r>
      <w:r>
        <w:t xml:space="preserve"> by sending requests to data owners and cc’ing the data publishers or peer review team</w:t>
      </w:r>
      <w:r w:rsidRPr="00AE4A3E">
        <w:t>.</w:t>
      </w:r>
    </w:p>
    <w:p w14:paraId="1BFFF488" w14:textId="77777777" w:rsidR="00FD56BD" w:rsidRDefault="00FD56BD" w:rsidP="00FD56BD">
      <w:pPr>
        <w:numPr>
          <w:ilvl w:val="0"/>
          <w:numId w:val="2"/>
        </w:numPr>
        <w:spacing w:before="100" w:beforeAutospacing="1" w:after="100" w:afterAutospacing="1"/>
      </w:pPr>
      <w:r w:rsidRPr="00AE4A3E">
        <w:t>Arrange appropriate acknowledgements, citations and/or authorships.</w:t>
      </w:r>
    </w:p>
    <w:p w14:paraId="4554CD43" w14:textId="38A81510" w:rsidR="00121634" w:rsidRDefault="00121634" w:rsidP="00121634">
      <w:pPr>
        <w:spacing w:before="100" w:beforeAutospacing="1" w:after="100" w:afterAutospacing="1"/>
      </w:pPr>
      <w:r>
        <w:t>* Failure to comply with the requirements may result in denial of access to restricted data files in future requests.  (Data owners have 90 days to respond to</w:t>
      </w:r>
      <w:r w:rsidR="00D305DC">
        <w:t xml:space="preserve"> data publication reviews).  Data users</w:t>
      </w:r>
      <w:r>
        <w:t xml:space="preserve"> will be notified of any accusations of failure to comply and have opportunities to defend your action to ensure access. </w:t>
      </w:r>
    </w:p>
    <w:p w14:paraId="61536498" w14:textId="645C7763" w:rsidR="009472D8" w:rsidRDefault="0070523D" w:rsidP="003F3F4A">
      <w:pPr>
        <w:pStyle w:val="Heading1"/>
      </w:pPr>
      <w:r w:rsidRPr="003A5E6B">
        <w:rPr>
          <w:highlight w:val="yellow"/>
        </w:rPr>
        <w:t xml:space="preserve">Draft </w:t>
      </w:r>
      <w:r>
        <w:rPr>
          <w:highlight w:val="yellow"/>
        </w:rPr>
        <w:t xml:space="preserve">General </w:t>
      </w:r>
      <w:r w:rsidRPr="003A5E6B">
        <w:rPr>
          <w:highlight w:val="yellow"/>
        </w:rPr>
        <w:t>StreamNet</w:t>
      </w:r>
      <w:r>
        <w:rPr>
          <w:highlight w:val="yellow"/>
        </w:rPr>
        <w:t xml:space="preserve"> Data Sharing Agreement Language Level </w:t>
      </w:r>
      <w:r w:rsidR="008B3A2B">
        <w:rPr>
          <w:highlight w:val="yellow"/>
        </w:rPr>
        <w:t>T</w:t>
      </w:r>
      <w:r w:rsidR="002664F1">
        <w:rPr>
          <w:highlight w:val="yellow"/>
          <w:lang w:val="en-US"/>
        </w:rPr>
        <w:t>wo</w:t>
      </w:r>
    </w:p>
    <w:p w14:paraId="57471294" w14:textId="77777777" w:rsidR="009472D8" w:rsidRPr="00644E09" w:rsidRDefault="00FE7B3A" w:rsidP="009472D8">
      <w:pPr>
        <w:rPr>
          <w:highlight w:val="yellow"/>
        </w:rPr>
      </w:pPr>
      <w:r>
        <w:t xml:space="preserve">The </w:t>
      </w:r>
      <w:r w:rsidR="009472D8">
        <w:t>StreamNet</w:t>
      </w:r>
      <w:r w:rsidR="009472D8" w:rsidRPr="00AE4A3E">
        <w:t xml:space="preserve"> </w:t>
      </w:r>
      <w:r w:rsidR="009472D8">
        <w:t>guidelines for use of</w:t>
      </w:r>
      <w:r w:rsidR="009472D8" w:rsidRPr="00AE4A3E">
        <w:t xml:space="preserve"> </w:t>
      </w:r>
      <w:r w:rsidR="009472D8">
        <w:t xml:space="preserve">StreamNet </w:t>
      </w:r>
      <w:r w:rsidR="009472D8" w:rsidRPr="00AE4A3E">
        <w:t>dataset</w:t>
      </w:r>
      <w:r w:rsidR="009472D8">
        <w:t>s</w:t>
      </w:r>
      <w:r w:rsidR="009472D8" w:rsidRPr="00AE4A3E">
        <w:t xml:space="preserve"> are as follows:</w:t>
      </w:r>
    </w:p>
    <w:p w14:paraId="5CA09F2A" w14:textId="77777777" w:rsidR="009472D8" w:rsidRPr="00AE4A3E" w:rsidRDefault="009472D8" w:rsidP="009472D8">
      <w:pPr>
        <w:spacing w:before="100" w:beforeAutospacing="1" w:after="100" w:afterAutospacing="1"/>
        <w:outlineLvl w:val="2"/>
        <w:rPr>
          <w:b/>
          <w:bCs/>
          <w:sz w:val="27"/>
          <w:szCs w:val="27"/>
        </w:rPr>
      </w:pPr>
      <w:r w:rsidRPr="00AE4A3E">
        <w:rPr>
          <w:b/>
          <w:bCs/>
          <w:sz w:val="27"/>
          <w:szCs w:val="27"/>
        </w:rPr>
        <w:t>Those who submit data:</w:t>
      </w:r>
    </w:p>
    <w:p w14:paraId="19070193" w14:textId="73AEBE7B" w:rsidR="008B3A2B" w:rsidRDefault="008B3A2B" w:rsidP="00644E09">
      <w:pPr>
        <w:numPr>
          <w:ilvl w:val="0"/>
          <w:numId w:val="8"/>
        </w:numPr>
        <w:spacing w:before="100" w:beforeAutospacing="1" w:after="100" w:afterAutospacing="1"/>
      </w:pPr>
      <w:r>
        <w:t xml:space="preserve">If restrictions on data use or accessibility are </w:t>
      </w:r>
      <w:r w:rsidR="002664F1">
        <w:t>imposed on certain data fields</w:t>
      </w:r>
      <w:r>
        <w:t xml:space="preserve">, it is the responsibility </w:t>
      </w:r>
      <w:r w:rsidR="002664F1">
        <w:t xml:space="preserve">of the data contributor </w:t>
      </w:r>
      <w:r>
        <w:t xml:space="preserve">to ensure that </w:t>
      </w:r>
      <w:r w:rsidR="002664F1">
        <w:t xml:space="preserve">an </w:t>
      </w:r>
      <w:r>
        <w:t>appropriate data use agreement regarding access and use are posted to StreamNet. StreamNet will maintain these restrictions through the management of access to data via the StreamNet website and by other means</w:t>
      </w:r>
      <w:r w:rsidR="002664F1">
        <w:t xml:space="preserve"> to the best of our ability</w:t>
      </w:r>
      <w:r>
        <w:t>. However, any enforcement of imposed restrictions is the sole responsibility of the data contributor. StreamNet, PSMFC, and BPA accept no responsibility or obligation to ensure that restrictions are maintained or for enforcement of any restrictions.</w:t>
      </w:r>
    </w:p>
    <w:p w14:paraId="3CD42CC9" w14:textId="77777777" w:rsidR="009472D8" w:rsidRDefault="009472D8" w:rsidP="009472D8">
      <w:pPr>
        <w:numPr>
          <w:ilvl w:val="0"/>
          <w:numId w:val="8"/>
        </w:numPr>
        <w:spacing w:before="100" w:beforeAutospacing="1" w:after="100" w:afterAutospacing="1"/>
      </w:pPr>
      <w:r>
        <w:t xml:space="preserve">Data contributors are responsible for ensuring that this data use agreement is consistent with </w:t>
      </w:r>
      <w:r w:rsidR="00FE7B3A">
        <w:t xml:space="preserve">all applicable federal and state statutes and rules, as well as </w:t>
      </w:r>
      <w:r>
        <w:t xml:space="preserve">the </w:t>
      </w:r>
      <w:r>
        <w:lastRenderedPageBreak/>
        <w:t>applicable policies and rules of their own agencies and any contractual obligations of their projects.</w:t>
      </w:r>
    </w:p>
    <w:p w14:paraId="32C6E054" w14:textId="11CE6082" w:rsidR="0070523D" w:rsidRDefault="009472D8" w:rsidP="00644E09">
      <w:pPr>
        <w:numPr>
          <w:ilvl w:val="0"/>
          <w:numId w:val="8"/>
        </w:numPr>
        <w:spacing w:before="100" w:beforeAutospacing="1" w:after="100" w:afterAutospacing="1"/>
        <w:outlineLvl w:val="2"/>
      </w:pPr>
      <w:r w:rsidRPr="0070523D">
        <w:t>Data co</w:t>
      </w:r>
      <w:r w:rsidR="00FD56BD" w:rsidRPr="0070523D">
        <w:t xml:space="preserve">ntributors should </w:t>
      </w:r>
      <w:r w:rsidRPr="0070523D">
        <w:t xml:space="preserve">respond to data </w:t>
      </w:r>
      <w:r w:rsidR="002664F1">
        <w:t>use</w:t>
      </w:r>
      <w:r w:rsidRPr="0070523D">
        <w:t xml:space="preserve">r review requests </w:t>
      </w:r>
      <w:r w:rsidR="00FD56BD" w:rsidRPr="0070523D">
        <w:t xml:space="preserve">within 90 days including requests for </w:t>
      </w:r>
      <w:r w:rsidRPr="0070523D">
        <w:t xml:space="preserve">permission to publish.  </w:t>
      </w:r>
    </w:p>
    <w:p w14:paraId="1298D108" w14:textId="77777777" w:rsidR="0070523D" w:rsidRDefault="0070523D" w:rsidP="0070523D">
      <w:pPr>
        <w:spacing w:before="100" w:beforeAutospacing="1" w:after="100" w:afterAutospacing="1"/>
        <w:outlineLvl w:val="2"/>
        <w:rPr>
          <w:b/>
          <w:bCs/>
          <w:sz w:val="27"/>
          <w:szCs w:val="27"/>
        </w:rPr>
      </w:pPr>
      <w:r w:rsidRPr="00AE4A3E">
        <w:rPr>
          <w:b/>
          <w:bCs/>
          <w:sz w:val="27"/>
          <w:szCs w:val="27"/>
        </w:rPr>
        <w:t>Those who use data:</w:t>
      </w:r>
    </w:p>
    <w:p w14:paraId="0B97E392" w14:textId="3128ED8E" w:rsidR="0070523D" w:rsidRDefault="0070523D" w:rsidP="0070523D">
      <w:pPr>
        <w:spacing w:before="100" w:beforeAutospacing="1" w:after="100" w:afterAutospacing="1"/>
      </w:pPr>
      <w:r>
        <w:t>Data users acknowledge their acceptance of the applicable DSA when accessing data via the StreamNet website. They agree to follow the DSA stipulations when receiving access. Any disagreement or discussion regarding the DSA will be direct</w:t>
      </w:r>
      <w:r w:rsidR="00D305DC">
        <w:t xml:space="preserve">ed to the data contributor. </w:t>
      </w:r>
      <w:r>
        <w:t>StreamNet, PSMFC, and BPA are under no obligation to ensure that the terms of the DSA are legal or enforceable. Data users should be careful to properly credit individuals and agencies when using data, and should follow reputable standards for the use and interpretation of scientific information.</w:t>
      </w:r>
    </w:p>
    <w:p w14:paraId="5D020C56" w14:textId="77777777" w:rsidR="0070523D" w:rsidRDefault="0070523D" w:rsidP="0070523D">
      <w:pPr>
        <w:spacing w:before="100" w:beforeAutospacing="1" w:after="100" w:afterAutospacing="1"/>
      </w:pPr>
      <w:r>
        <w:t>Before publication;</w:t>
      </w:r>
    </w:p>
    <w:p w14:paraId="32A03734" w14:textId="77777777" w:rsidR="0070523D" w:rsidRPr="00AE4A3E" w:rsidRDefault="0070523D" w:rsidP="0070523D">
      <w:pPr>
        <w:spacing w:before="100" w:beforeAutospacing="1" w:after="100" w:afterAutospacing="1"/>
      </w:pPr>
      <w:r w:rsidRPr="00AE4A3E">
        <w:t>The Data User is expected</w:t>
      </w:r>
      <w:r>
        <w:t xml:space="preserve"> to contact the appropriate </w:t>
      </w:r>
      <w:r w:rsidRPr="00AE4A3E">
        <w:t>Data Co</w:t>
      </w:r>
      <w:r>
        <w:t xml:space="preserve">ntributor and to maintain a record of contact via email and if necessary phone </w:t>
      </w:r>
      <w:r w:rsidRPr="00AE4A3E">
        <w:t xml:space="preserve">prior to significant use of data </w:t>
      </w:r>
      <w:r>
        <w:t>in any publication</w:t>
      </w:r>
      <w:r w:rsidRPr="00AE4A3E">
        <w:t xml:space="preserve"> in order to: </w:t>
      </w:r>
    </w:p>
    <w:p w14:paraId="47729850" w14:textId="77777777" w:rsidR="0070523D" w:rsidRPr="00AE4A3E" w:rsidRDefault="0070523D" w:rsidP="002052AB">
      <w:pPr>
        <w:numPr>
          <w:ilvl w:val="0"/>
          <w:numId w:val="16"/>
        </w:numPr>
        <w:spacing w:before="100" w:beforeAutospacing="1" w:after="100" w:afterAutospacing="1"/>
      </w:pPr>
      <w:r w:rsidRPr="00AE4A3E">
        <w:t>Obtain verification</w:t>
      </w:r>
      <w:r>
        <w:t xml:space="preserve">, data use limitations </w:t>
      </w:r>
      <w:r w:rsidRPr="00AE4A3E">
        <w:t>and context for data</w:t>
      </w:r>
      <w:r>
        <w:t xml:space="preserve"> through metadata records</w:t>
      </w:r>
      <w:r w:rsidRPr="00AE4A3E">
        <w:t>.</w:t>
      </w:r>
    </w:p>
    <w:p w14:paraId="124A0769" w14:textId="77777777" w:rsidR="0070523D" w:rsidRPr="00AE4A3E" w:rsidRDefault="0070523D" w:rsidP="002052AB">
      <w:pPr>
        <w:numPr>
          <w:ilvl w:val="0"/>
          <w:numId w:val="16"/>
        </w:numPr>
        <w:spacing w:before="100" w:beforeAutospacing="1" w:after="100" w:afterAutospacing="1"/>
      </w:pPr>
      <w:r w:rsidRPr="00AE4A3E">
        <w:t>Secure appropriate permissions prior to submission for publication</w:t>
      </w:r>
      <w:r>
        <w:t xml:space="preserve"> by sending requests to data owners and cc’ing the data publishers or peer review team</w:t>
      </w:r>
      <w:r w:rsidRPr="00AE4A3E">
        <w:t>.</w:t>
      </w:r>
    </w:p>
    <w:p w14:paraId="2DD4915E" w14:textId="77777777" w:rsidR="00D305DC" w:rsidRDefault="0070523D" w:rsidP="00D305DC">
      <w:pPr>
        <w:numPr>
          <w:ilvl w:val="0"/>
          <w:numId w:val="16"/>
        </w:numPr>
        <w:spacing w:before="100" w:beforeAutospacing="1" w:after="100" w:afterAutospacing="1"/>
      </w:pPr>
      <w:r w:rsidRPr="00AE4A3E">
        <w:t>Arrange appropriate acknowledgements, citations and/or authorships.</w:t>
      </w:r>
    </w:p>
    <w:p w14:paraId="49158AD4" w14:textId="4ED9823D" w:rsidR="00D305DC" w:rsidRDefault="00D305DC" w:rsidP="00D305DC">
      <w:pPr>
        <w:spacing w:before="100" w:beforeAutospacing="1" w:after="100" w:afterAutospacing="1"/>
      </w:pPr>
      <w:r>
        <w:t xml:space="preserve">* Failure to comply with the requirements may result in denial of access to restricted data files in future requests.  (Data owners have 90 days to respond to data publication reviews).  Data users will be notified of any accusations of failure to comply and have opportunities to defend your action to ensure access. </w:t>
      </w:r>
    </w:p>
    <w:p w14:paraId="6CD26E2D" w14:textId="77777777" w:rsidR="00AE4A3E" w:rsidRDefault="00AE4A3E" w:rsidP="003A3698"/>
    <w:p w14:paraId="5FD9A9D5" w14:textId="77777777" w:rsidR="00D31640" w:rsidRDefault="00D31640" w:rsidP="003A3698"/>
    <w:p w14:paraId="3C554963" w14:textId="77777777" w:rsidR="00D31640" w:rsidRDefault="00D31640" w:rsidP="003A3698"/>
    <w:p w14:paraId="2EED4238" w14:textId="77777777" w:rsidR="00D31640" w:rsidRDefault="00D31640" w:rsidP="003A3698"/>
    <w:p w14:paraId="5F121D5B" w14:textId="77777777" w:rsidR="00D31640" w:rsidRDefault="00D31640"/>
    <w:sectPr w:rsidR="00D31640" w:rsidSect="00164E45">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26B76" w14:textId="77777777" w:rsidR="004B5F41" w:rsidRDefault="004B5F41" w:rsidP="00870964">
      <w:r>
        <w:separator/>
      </w:r>
    </w:p>
  </w:endnote>
  <w:endnote w:type="continuationSeparator" w:id="0">
    <w:p w14:paraId="16FDE43F" w14:textId="77777777" w:rsidR="004B5F41" w:rsidRDefault="004B5F41" w:rsidP="00870964">
      <w:r>
        <w:continuationSeparator/>
      </w:r>
    </w:p>
  </w:endnote>
  <w:endnote w:type="continuationNotice" w:id="1">
    <w:p w14:paraId="4E75E27E" w14:textId="77777777" w:rsidR="004B5F41" w:rsidRDefault="004B5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61AE" w14:textId="77777777" w:rsidR="004B5F41" w:rsidRDefault="004B5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29D51" w14:textId="77777777" w:rsidR="004B5F41" w:rsidRDefault="004B5F41" w:rsidP="00870964">
      <w:r>
        <w:separator/>
      </w:r>
    </w:p>
  </w:footnote>
  <w:footnote w:type="continuationSeparator" w:id="0">
    <w:p w14:paraId="75AB78DA" w14:textId="77777777" w:rsidR="004B5F41" w:rsidRDefault="004B5F41" w:rsidP="00870964">
      <w:r>
        <w:continuationSeparator/>
      </w:r>
    </w:p>
  </w:footnote>
  <w:footnote w:type="continuationNotice" w:id="1">
    <w:p w14:paraId="79DB0E13" w14:textId="77777777" w:rsidR="004B5F41" w:rsidRDefault="004B5F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7D1BB" w14:textId="77777777" w:rsidR="004B5F41" w:rsidRDefault="004B5F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0F7B"/>
    <w:multiLevelType w:val="hybridMultilevel"/>
    <w:tmpl w:val="EDFA1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00F7"/>
    <w:multiLevelType w:val="multilevel"/>
    <w:tmpl w:val="9BA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62A56"/>
    <w:multiLevelType w:val="multilevel"/>
    <w:tmpl w:val="9BA4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46785"/>
    <w:multiLevelType w:val="multilevel"/>
    <w:tmpl w:val="9BA4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54785"/>
    <w:multiLevelType w:val="hybridMultilevel"/>
    <w:tmpl w:val="1E3C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26FD4"/>
    <w:multiLevelType w:val="multilevel"/>
    <w:tmpl w:val="9BA4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9B163F"/>
    <w:multiLevelType w:val="hybridMultilevel"/>
    <w:tmpl w:val="2452B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00B7F"/>
    <w:multiLevelType w:val="hybridMultilevel"/>
    <w:tmpl w:val="8D14C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66086"/>
    <w:multiLevelType w:val="hybridMultilevel"/>
    <w:tmpl w:val="6BF40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8C4376"/>
    <w:multiLevelType w:val="multilevel"/>
    <w:tmpl w:val="9BA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C63D05"/>
    <w:multiLevelType w:val="multilevel"/>
    <w:tmpl w:val="9BA4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FA32B7"/>
    <w:multiLevelType w:val="hybridMultilevel"/>
    <w:tmpl w:val="7FB25908"/>
    <w:lvl w:ilvl="0" w:tplc="609A6D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BC0323"/>
    <w:multiLevelType w:val="multilevel"/>
    <w:tmpl w:val="E314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C36E5B"/>
    <w:multiLevelType w:val="multilevel"/>
    <w:tmpl w:val="E314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A54B1C"/>
    <w:multiLevelType w:val="multilevel"/>
    <w:tmpl w:val="9BA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8B2B1C"/>
    <w:multiLevelType w:val="hybridMultilevel"/>
    <w:tmpl w:val="81C25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14"/>
  </w:num>
  <w:num w:numId="5">
    <w:abstractNumId w:val="8"/>
  </w:num>
  <w:num w:numId="6">
    <w:abstractNumId w:val="0"/>
  </w:num>
  <w:num w:numId="7">
    <w:abstractNumId w:val="4"/>
  </w:num>
  <w:num w:numId="8">
    <w:abstractNumId w:val="6"/>
  </w:num>
  <w:num w:numId="9">
    <w:abstractNumId w:val="9"/>
  </w:num>
  <w:num w:numId="10">
    <w:abstractNumId w:val="1"/>
  </w:num>
  <w:num w:numId="11">
    <w:abstractNumId w:val="7"/>
  </w:num>
  <w:num w:numId="12">
    <w:abstractNumId w:val="11"/>
  </w:num>
  <w:num w:numId="13">
    <w:abstractNumId w:val="10"/>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98"/>
    <w:rsid w:val="0003648F"/>
    <w:rsid w:val="000A1D9A"/>
    <w:rsid w:val="000A469A"/>
    <w:rsid w:val="00113365"/>
    <w:rsid w:val="00121634"/>
    <w:rsid w:val="00124D11"/>
    <w:rsid w:val="001407B8"/>
    <w:rsid w:val="00164E45"/>
    <w:rsid w:val="001765F7"/>
    <w:rsid w:val="00182197"/>
    <w:rsid w:val="0018608E"/>
    <w:rsid w:val="001C226E"/>
    <w:rsid w:val="001F4D37"/>
    <w:rsid w:val="001F77C9"/>
    <w:rsid w:val="002052AB"/>
    <w:rsid w:val="002238D8"/>
    <w:rsid w:val="00225619"/>
    <w:rsid w:val="00237518"/>
    <w:rsid w:val="00245C56"/>
    <w:rsid w:val="002515C1"/>
    <w:rsid w:val="002664F1"/>
    <w:rsid w:val="00290E51"/>
    <w:rsid w:val="00294E01"/>
    <w:rsid w:val="002B3E20"/>
    <w:rsid w:val="002D4442"/>
    <w:rsid w:val="002E0C34"/>
    <w:rsid w:val="002E172F"/>
    <w:rsid w:val="002F3B6C"/>
    <w:rsid w:val="002F4A39"/>
    <w:rsid w:val="00305CAC"/>
    <w:rsid w:val="00341C00"/>
    <w:rsid w:val="00346E2A"/>
    <w:rsid w:val="00352A89"/>
    <w:rsid w:val="003777D7"/>
    <w:rsid w:val="003A3698"/>
    <w:rsid w:val="003A5E6B"/>
    <w:rsid w:val="003B5183"/>
    <w:rsid w:val="003E692A"/>
    <w:rsid w:val="003F3F4A"/>
    <w:rsid w:val="004001E0"/>
    <w:rsid w:val="00412840"/>
    <w:rsid w:val="004213AD"/>
    <w:rsid w:val="00422D24"/>
    <w:rsid w:val="0044708C"/>
    <w:rsid w:val="00452EB7"/>
    <w:rsid w:val="00492180"/>
    <w:rsid w:val="0049683E"/>
    <w:rsid w:val="004A6460"/>
    <w:rsid w:val="004B5F41"/>
    <w:rsid w:val="004C5A3A"/>
    <w:rsid w:val="004F27AB"/>
    <w:rsid w:val="00502201"/>
    <w:rsid w:val="005143EC"/>
    <w:rsid w:val="005268A9"/>
    <w:rsid w:val="00540B8C"/>
    <w:rsid w:val="005507DD"/>
    <w:rsid w:val="00561C01"/>
    <w:rsid w:val="00582B63"/>
    <w:rsid w:val="00583E1E"/>
    <w:rsid w:val="00592708"/>
    <w:rsid w:val="005C055A"/>
    <w:rsid w:val="005C5CB6"/>
    <w:rsid w:val="005D3430"/>
    <w:rsid w:val="005E4833"/>
    <w:rsid w:val="005F2DE8"/>
    <w:rsid w:val="005F43D7"/>
    <w:rsid w:val="00607CB7"/>
    <w:rsid w:val="0064319A"/>
    <w:rsid w:val="00644E09"/>
    <w:rsid w:val="00655BD7"/>
    <w:rsid w:val="00663F73"/>
    <w:rsid w:val="00677C99"/>
    <w:rsid w:val="00691243"/>
    <w:rsid w:val="006A7F1D"/>
    <w:rsid w:val="006B117E"/>
    <w:rsid w:val="006B29C2"/>
    <w:rsid w:val="006C23EF"/>
    <w:rsid w:val="006C47A6"/>
    <w:rsid w:val="006D0FFF"/>
    <w:rsid w:val="00702023"/>
    <w:rsid w:val="0070253E"/>
    <w:rsid w:val="0070523D"/>
    <w:rsid w:val="007063B4"/>
    <w:rsid w:val="00716C13"/>
    <w:rsid w:val="007275C2"/>
    <w:rsid w:val="0073543F"/>
    <w:rsid w:val="00740FE7"/>
    <w:rsid w:val="00775B9B"/>
    <w:rsid w:val="00792142"/>
    <w:rsid w:val="007C5DDC"/>
    <w:rsid w:val="007D30CC"/>
    <w:rsid w:val="008239D7"/>
    <w:rsid w:val="008530C5"/>
    <w:rsid w:val="00861A38"/>
    <w:rsid w:val="00870964"/>
    <w:rsid w:val="00875D8E"/>
    <w:rsid w:val="00881316"/>
    <w:rsid w:val="008936FF"/>
    <w:rsid w:val="00897442"/>
    <w:rsid w:val="008A6E08"/>
    <w:rsid w:val="008B3A2B"/>
    <w:rsid w:val="008D2D69"/>
    <w:rsid w:val="008D6AF9"/>
    <w:rsid w:val="00907B50"/>
    <w:rsid w:val="009131AF"/>
    <w:rsid w:val="009158CE"/>
    <w:rsid w:val="009472D8"/>
    <w:rsid w:val="009475AA"/>
    <w:rsid w:val="00953B16"/>
    <w:rsid w:val="0098238E"/>
    <w:rsid w:val="009942FD"/>
    <w:rsid w:val="009A5C1F"/>
    <w:rsid w:val="009D1E1C"/>
    <w:rsid w:val="009D6B8C"/>
    <w:rsid w:val="009E27FF"/>
    <w:rsid w:val="009F0816"/>
    <w:rsid w:val="009F2712"/>
    <w:rsid w:val="00A23543"/>
    <w:rsid w:val="00A47559"/>
    <w:rsid w:val="00A50C61"/>
    <w:rsid w:val="00A62D17"/>
    <w:rsid w:val="00A63C1C"/>
    <w:rsid w:val="00A80F15"/>
    <w:rsid w:val="00AB371F"/>
    <w:rsid w:val="00AD3529"/>
    <w:rsid w:val="00AE4A3E"/>
    <w:rsid w:val="00AF31C4"/>
    <w:rsid w:val="00B87FA3"/>
    <w:rsid w:val="00BC26EC"/>
    <w:rsid w:val="00BD5576"/>
    <w:rsid w:val="00BD5EEE"/>
    <w:rsid w:val="00C06F72"/>
    <w:rsid w:val="00C149A0"/>
    <w:rsid w:val="00C15D2E"/>
    <w:rsid w:val="00C40E44"/>
    <w:rsid w:val="00C520FB"/>
    <w:rsid w:val="00C57A62"/>
    <w:rsid w:val="00C627B2"/>
    <w:rsid w:val="00C65BC3"/>
    <w:rsid w:val="00C70C55"/>
    <w:rsid w:val="00C804A1"/>
    <w:rsid w:val="00CA1B3F"/>
    <w:rsid w:val="00CE18F5"/>
    <w:rsid w:val="00CE6082"/>
    <w:rsid w:val="00CF431F"/>
    <w:rsid w:val="00CF6CDE"/>
    <w:rsid w:val="00D01337"/>
    <w:rsid w:val="00D16BF6"/>
    <w:rsid w:val="00D305DC"/>
    <w:rsid w:val="00D31640"/>
    <w:rsid w:val="00D36E1E"/>
    <w:rsid w:val="00D640FC"/>
    <w:rsid w:val="00DA72E2"/>
    <w:rsid w:val="00DB349A"/>
    <w:rsid w:val="00DB398F"/>
    <w:rsid w:val="00DC2FE0"/>
    <w:rsid w:val="00DD2F3E"/>
    <w:rsid w:val="00DF756E"/>
    <w:rsid w:val="00E238E9"/>
    <w:rsid w:val="00E276ED"/>
    <w:rsid w:val="00E46BE1"/>
    <w:rsid w:val="00E5179B"/>
    <w:rsid w:val="00E554F8"/>
    <w:rsid w:val="00E802E4"/>
    <w:rsid w:val="00EA6495"/>
    <w:rsid w:val="00ED3ED3"/>
    <w:rsid w:val="00EE6716"/>
    <w:rsid w:val="00F31A17"/>
    <w:rsid w:val="00F34C47"/>
    <w:rsid w:val="00F4330A"/>
    <w:rsid w:val="00F53E57"/>
    <w:rsid w:val="00F6273B"/>
    <w:rsid w:val="00F83110"/>
    <w:rsid w:val="00FA438C"/>
    <w:rsid w:val="00FB34D5"/>
    <w:rsid w:val="00FC4622"/>
    <w:rsid w:val="00FD56BD"/>
    <w:rsid w:val="00FE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FAC98-9EBD-498A-87C7-897C6427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052AB"/>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2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FE0"/>
    <w:rPr>
      <w:rFonts w:ascii="Tahoma" w:hAnsi="Tahoma"/>
      <w:sz w:val="16"/>
      <w:szCs w:val="16"/>
      <w:lang w:val="x-none" w:eastAsia="x-none"/>
    </w:rPr>
  </w:style>
  <w:style w:type="character" w:customStyle="1" w:styleId="BalloonTextChar">
    <w:name w:val="Balloon Text Char"/>
    <w:link w:val="BalloonText"/>
    <w:rsid w:val="00DC2FE0"/>
    <w:rPr>
      <w:rFonts w:ascii="Tahoma" w:hAnsi="Tahoma" w:cs="Tahoma"/>
      <w:sz w:val="16"/>
      <w:szCs w:val="16"/>
    </w:rPr>
  </w:style>
  <w:style w:type="character" w:styleId="Hyperlink">
    <w:name w:val="Hyperlink"/>
    <w:rsid w:val="005F43D7"/>
    <w:rPr>
      <w:color w:val="0000FF"/>
      <w:u w:val="single"/>
    </w:rPr>
  </w:style>
  <w:style w:type="paragraph" w:styleId="Header">
    <w:name w:val="header"/>
    <w:basedOn w:val="Normal"/>
    <w:link w:val="HeaderChar"/>
    <w:rsid w:val="00870964"/>
    <w:pPr>
      <w:tabs>
        <w:tab w:val="center" w:pos="4680"/>
        <w:tab w:val="right" w:pos="9360"/>
      </w:tabs>
    </w:pPr>
    <w:rPr>
      <w:lang w:val="x-none" w:eastAsia="x-none"/>
    </w:rPr>
  </w:style>
  <w:style w:type="character" w:customStyle="1" w:styleId="HeaderChar">
    <w:name w:val="Header Char"/>
    <w:link w:val="Header"/>
    <w:rsid w:val="00870964"/>
    <w:rPr>
      <w:sz w:val="24"/>
      <w:szCs w:val="24"/>
    </w:rPr>
  </w:style>
  <w:style w:type="paragraph" w:styleId="Footer">
    <w:name w:val="footer"/>
    <w:basedOn w:val="Normal"/>
    <w:link w:val="FooterChar"/>
    <w:rsid w:val="00870964"/>
    <w:pPr>
      <w:tabs>
        <w:tab w:val="center" w:pos="4680"/>
        <w:tab w:val="right" w:pos="9360"/>
      </w:tabs>
    </w:pPr>
    <w:rPr>
      <w:lang w:val="x-none" w:eastAsia="x-none"/>
    </w:rPr>
  </w:style>
  <w:style w:type="character" w:customStyle="1" w:styleId="FooterChar">
    <w:name w:val="Footer Char"/>
    <w:link w:val="Footer"/>
    <w:rsid w:val="00870964"/>
    <w:rPr>
      <w:sz w:val="24"/>
      <w:szCs w:val="24"/>
    </w:rPr>
  </w:style>
  <w:style w:type="character" w:styleId="CommentReference">
    <w:name w:val="annotation reference"/>
    <w:rsid w:val="00AE4A3E"/>
    <w:rPr>
      <w:sz w:val="16"/>
      <w:szCs w:val="16"/>
    </w:rPr>
  </w:style>
  <w:style w:type="paragraph" w:styleId="CommentText">
    <w:name w:val="annotation text"/>
    <w:basedOn w:val="Normal"/>
    <w:link w:val="CommentTextChar"/>
    <w:rsid w:val="00AE4A3E"/>
    <w:rPr>
      <w:sz w:val="20"/>
      <w:szCs w:val="20"/>
    </w:rPr>
  </w:style>
  <w:style w:type="character" w:customStyle="1" w:styleId="CommentTextChar">
    <w:name w:val="Comment Text Char"/>
    <w:basedOn w:val="DefaultParagraphFont"/>
    <w:link w:val="CommentText"/>
    <w:rsid w:val="00AE4A3E"/>
  </w:style>
  <w:style w:type="paragraph" w:styleId="CommentSubject">
    <w:name w:val="annotation subject"/>
    <w:basedOn w:val="CommentText"/>
    <w:next w:val="CommentText"/>
    <w:link w:val="CommentSubjectChar"/>
    <w:rsid w:val="00AE4A3E"/>
    <w:rPr>
      <w:b/>
      <w:bCs/>
      <w:lang w:val="x-none" w:eastAsia="x-none"/>
    </w:rPr>
  </w:style>
  <w:style w:type="character" w:customStyle="1" w:styleId="CommentSubjectChar">
    <w:name w:val="Comment Subject Char"/>
    <w:link w:val="CommentSubject"/>
    <w:rsid w:val="00AE4A3E"/>
    <w:rPr>
      <w:b/>
      <w:bCs/>
    </w:rPr>
  </w:style>
  <w:style w:type="paragraph" w:styleId="Revision">
    <w:name w:val="Revision"/>
    <w:hidden/>
    <w:uiPriority w:val="99"/>
    <w:semiHidden/>
    <w:rsid w:val="0049683E"/>
    <w:rPr>
      <w:sz w:val="24"/>
      <w:szCs w:val="24"/>
    </w:rPr>
  </w:style>
  <w:style w:type="character" w:customStyle="1" w:styleId="Heading1Char">
    <w:name w:val="Heading 1 Char"/>
    <w:link w:val="Heading1"/>
    <w:rsid w:val="002052AB"/>
    <w:rPr>
      <w:rFonts w:ascii="Cambria" w:eastAsia="Times New Roman" w:hAnsi="Cambria" w:cs="Times New Roman"/>
      <w:b/>
      <w:bCs/>
      <w:kern w:val="32"/>
      <w:sz w:val="32"/>
      <w:szCs w:val="32"/>
    </w:rPr>
  </w:style>
  <w:style w:type="paragraph" w:styleId="ListParagraph">
    <w:name w:val="List Paragraph"/>
    <w:basedOn w:val="Normal"/>
    <w:uiPriority w:val="34"/>
    <w:qFormat/>
    <w:rsid w:val="00D30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02421">
      <w:bodyDiv w:val="1"/>
      <w:marLeft w:val="0"/>
      <w:marRight w:val="0"/>
      <w:marTop w:val="0"/>
      <w:marBottom w:val="0"/>
      <w:divBdr>
        <w:top w:val="none" w:sz="0" w:space="0" w:color="auto"/>
        <w:left w:val="none" w:sz="0" w:space="0" w:color="auto"/>
        <w:bottom w:val="none" w:sz="0" w:space="0" w:color="auto"/>
        <w:right w:val="none" w:sz="0" w:space="0" w:color="auto"/>
      </w:divBdr>
    </w:div>
    <w:div w:id="665590561">
      <w:bodyDiv w:val="1"/>
      <w:marLeft w:val="0"/>
      <w:marRight w:val="0"/>
      <w:marTop w:val="0"/>
      <w:marBottom w:val="0"/>
      <w:divBdr>
        <w:top w:val="none" w:sz="0" w:space="0" w:color="auto"/>
        <w:left w:val="none" w:sz="0" w:space="0" w:color="auto"/>
        <w:bottom w:val="none" w:sz="0" w:space="0" w:color="auto"/>
        <w:right w:val="none" w:sz="0" w:space="0" w:color="auto"/>
      </w:divBdr>
      <w:divsChild>
        <w:div w:id="1237284516">
          <w:marLeft w:val="0"/>
          <w:marRight w:val="0"/>
          <w:marTop w:val="0"/>
          <w:marBottom w:val="0"/>
          <w:divBdr>
            <w:top w:val="none" w:sz="0" w:space="0" w:color="auto"/>
            <w:left w:val="none" w:sz="0" w:space="0" w:color="auto"/>
            <w:bottom w:val="none" w:sz="0" w:space="0" w:color="auto"/>
            <w:right w:val="none" w:sz="0" w:space="0" w:color="auto"/>
          </w:divBdr>
          <w:divsChild>
            <w:div w:id="473833439">
              <w:marLeft w:val="0"/>
              <w:marRight w:val="0"/>
              <w:marTop w:val="0"/>
              <w:marBottom w:val="0"/>
              <w:divBdr>
                <w:top w:val="none" w:sz="0" w:space="0" w:color="auto"/>
                <w:left w:val="none" w:sz="0" w:space="0" w:color="auto"/>
                <w:bottom w:val="none" w:sz="0" w:space="0" w:color="auto"/>
                <w:right w:val="none" w:sz="0" w:space="0" w:color="auto"/>
              </w:divBdr>
              <w:divsChild>
                <w:div w:id="293944401">
                  <w:marLeft w:val="0"/>
                  <w:marRight w:val="0"/>
                  <w:marTop w:val="0"/>
                  <w:marBottom w:val="0"/>
                  <w:divBdr>
                    <w:top w:val="none" w:sz="0" w:space="0" w:color="auto"/>
                    <w:left w:val="none" w:sz="0" w:space="0" w:color="auto"/>
                    <w:bottom w:val="none" w:sz="0" w:space="0" w:color="auto"/>
                    <w:right w:val="none" w:sz="0" w:space="0" w:color="auto"/>
                  </w:divBdr>
                  <w:divsChild>
                    <w:div w:id="1334600848">
                      <w:marLeft w:val="0"/>
                      <w:marRight w:val="0"/>
                      <w:marTop w:val="0"/>
                      <w:marBottom w:val="0"/>
                      <w:divBdr>
                        <w:top w:val="none" w:sz="0" w:space="0" w:color="auto"/>
                        <w:left w:val="none" w:sz="0" w:space="0" w:color="auto"/>
                        <w:bottom w:val="none" w:sz="0" w:space="0" w:color="auto"/>
                        <w:right w:val="none" w:sz="0" w:space="0" w:color="auto"/>
                      </w:divBdr>
                      <w:divsChild>
                        <w:div w:id="965280870">
                          <w:marLeft w:val="0"/>
                          <w:marRight w:val="0"/>
                          <w:marTop w:val="0"/>
                          <w:marBottom w:val="0"/>
                          <w:divBdr>
                            <w:top w:val="none" w:sz="0" w:space="0" w:color="auto"/>
                            <w:left w:val="none" w:sz="0" w:space="0" w:color="auto"/>
                            <w:bottom w:val="none" w:sz="0" w:space="0" w:color="auto"/>
                            <w:right w:val="none" w:sz="0" w:space="0" w:color="auto"/>
                          </w:divBdr>
                          <w:divsChild>
                            <w:div w:id="1556699344">
                              <w:marLeft w:val="0"/>
                              <w:marRight w:val="0"/>
                              <w:marTop w:val="0"/>
                              <w:marBottom w:val="0"/>
                              <w:divBdr>
                                <w:top w:val="none" w:sz="0" w:space="0" w:color="auto"/>
                                <w:left w:val="none" w:sz="0" w:space="0" w:color="auto"/>
                                <w:bottom w:val="none" w:sz="0" w:space="0" w:color="auto"/>
                                <w:right w:val="none" w:sz="0" w:space="0" w:color="auto"/>
                              </w:divBdr>
                            </w:div>
                          </w:divsChild>
                        </w:div>
                        <w:div w:id="1108352905">
                          <w:marLeft w:val="0"/>
                          <w:marRight w:val="0"/>
                          <w:marTop w:val="0"/>
                          <w:marBottom w:val="0"/>
                          <w:divBdr>
                            <w:top w:val="none" w:sz="0" w:space="0" w:color="auto"/>
                            <w:left w:val="none" w:sz="0" w:space="0" w:color="auto"/>
                            <w:bottom w:val="none" w:sz="0" w:space="0" w:color="auto"/>
                            <w:right w:val="none" w:sz="0" w:space="0" w:color="auto"/>
                          </w:divBdr>
                          <w:divsChild>
                            <w:div w:id="1721854548">
                              <w:marLeft w:val="0"/>
                              <w:marRight w:val="0"/>
                              <w:marTop w:val="0"/>
                              <w:marBottom w:val="0"/>
                              <w:divBdr>
                                <w:top w:val="none" w:sz="0" w:space="0" w:color="auto"/>
                                <w:left w:val="none" w:sz="0" w:space="0" w:color="auto"/>
                                <w:bottom w:val="none" w:sz="0" w:space="0" w:color="auto"/>
                                <w:right w:val="none" w:sz="0" w:space="0" w:color="auto"/>
                              </w:divBdr>
                              <w:divsChild>
                                <w:div w:id="171071637">
                                  <w:marLeft w:val="0"/>
                                  <w:marRight w:val="0"/>
                                  <w:marTop w:val="0"/>
                                  <w:marBottom w:val="0"/>
                                  <w:divBdr>
                                    <w:top w:val="none" w:sz="0" w:space="0" w:color="auto"/>
                                    <w:left w:val="none" w:sz="0" w:space="0" w:color="auto"/>
                                    <w:bottom w:val="none" w:sz="0" w:space="0" w:color="auto"/>
                                    <w:right w:val="none" w:sz="0" w:space="0" w:color="auto"/>
                                  </w:divBdr>
                                  <w:divsChild>
                                    <w:div w:id="494489686">
                                      <w:marLeft w:val="0"/>
                                      <w:marRight w:val="0"/>
                                      <w:marTop w:val="0"/>
                                      <w:marBottom w:val="0"/>
                                      <w:divBdr>
                                        <w:top w:val="none" w:sz="0" w:space="0" w:color="auto"/>
                                        <w:left w:val="none" w:sz="0" w:space="0" w:color="auto"/>
                                        <w:bottom w:val="none" w:sz="0" w:space="0" w:color="auto"/>
                                        <w:right w:val="none" w:sz="0" w:space="0" w:color="auto"/>
                                      </w:divBdr>
                                      <w:divsChild>
                                        <w:div w:id="14949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108725">
      <w:bodyDiv w:val="1"/>
      <w:marLeft w:val="0"/>
      <w:marRight w:val="0"/>
      <w:marTop w:val="0"/>
      <w:marBottom w:val="0"/>
      <w:divBdr>
        <w:top w:val="none" w:sz="0" w:space="0" w:color="auto"/>
        <w:left w:val="none" w:sz="0" w:space="0" w:color="auto"/>
        <w:bottom w:val="none" w:sz="0" w:space="0" w:color="auto"/>
        <w:right w:val="none" w:sz="0" w:space="0" w:color="auto"/>
      </w:divBdr>
    </w:div>
    <w:div w:id="14321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heaton@psmf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A682-3E28-4A6C-86C4-663490E2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12199</CharactersWithSpaces>
  <SharedDoc>false</SharedDoc>
  <HLinks>
    <vt:vector size="6" baseType="variant">
      <vt:variant>
        <vt:i4>7209043</vt:i4>
      </vt:variant>
      <vt:variant>
        <vt:i4>0</vt:i4>
      </vt:variant>
      <vt:variant>
        <vt:i4>0</vt:i4>
      </vt:variant>
      <vt:variant>
        <vt:i4>5</vt:i4>
      </vt:variant>
      <vt:variant>
        <vt:lpwstr>mailto:CWheaton@psmfc.org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cp:lastModifiedBy>Chris Wheaton</cp:lastModifiedBy>
  <cp:revision>2</cp:revision>
  <dcterms:created xsi:type="dcterms:W3CDTF">2014-03-28T23:27:00Z</dcterms:created>
  <dcterms:modified xsi:type="dcterms:W3CDTF">2014-03-28T23:27:00Z</dcterms:modified>
</cp:coreProperties>
</file>