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DBC" w:rsidRDefault="004E6DBC" w:rsidP="00E96E4B">
      <w:pPr>
        <w:spacing w:after="0" w:line="240" w:lineRule="auto"/>
        <w:rPr>
          <w:rFonts w:ascii="Times New Roman" w:hAnsi="Times New Roman"/>
          <w:sz w:val="28"/>
          <w:szCs w:val="28"/>
        </w:rPr>
      </w:pPr>
      <w:r>
        <w:rPr>
          <w:rFonts w:ascii="Times New Roman" w:hAnsi="Times New Roman"/>
          <w:bCs/>
          <w:noProof/>
          <w:sz w:val="24"/>
          <w:szCs w:val="24"/>
        </w:rPr>
        <w:drawing>
          <wp:anchor distT="0" distB="0" distL="114300" distR="114300" simplePos="0" relativeHeight="251659264" behindDoc="0" locked="0" layoutInCell="1" allowOverlap="1" wp14:anchorId="6319EF76" wp14:editId="7504776D">
            <wp:simplePos x="0" y="0"/>
            <wp:positionH relativeFrom="column">
              <wp:posOffset>0</wp:posOffset>
            </wp:positionH>
            <wp:positionV relativeFrom="paragraph">
              <wp:posOffset>205740</wp:posOffset>
            </wp:positionV>
            <wp:extent cx="3541395" cy="15875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eamNet symbol 3 2_streamnet-logo-color-smal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41395" cy="1587500"/>
                    </a:xfrm>
                    <a:prstGeom prst="rect">
                      <a:avLst/>
                    </a:prstGeom>
                  </pic:spPr>
                </pic:pic>
              </a:graphicData>
            </a:graphic>
            <wp14:sizeRelH relativeFrom="page">
              <wp14:pctWidth>0</wp14:pctWidth>
            </wp14:sizeRelH>
            <wp14:sizeRelV relativeFrom="page">
              <wp14:pctHeight>0</wp14:pctHeight>
            </wp14:sizeRelV>
          </wp:anchor>
        </w:drawing>
      </w:r>
    </w:p>
    <w:p w:rsidR="004E6DBC" w:rsidRPr="004E6DBC" w:rsidRDefault="004E6DBC" w:rsidP="00E96E4B">
      <w:pPr>
        <w:spacing w:after="0" w:line="240" w:lineRule="auto"/>
        <w:rPr>
          <w:rFonts w:ascii="Times New Roman" w:hAnsi="Times New Roman"/>
          <w:sz w:val="24"/>
          <w:szCs w:val="24"/>
        </w:rPr>
      </w:pPr>
      <w:r w:rsidRPr="004E6DBC">
        <w:rPr>
          <w:rFonts w:ascii="Times New Roman" w:hAnsi="Times New Roman"/>
          <w:sz w:val="24"/>
          <w:szCs w:val="24"/>
        </w:rPr>
        <w:t xml:space="preserve">StreamNet 2014 Annual Report  </w:t>
      </w:r>
    </w:p>
    <w:p w:rsidR="004E6DBC" w:rsidRPr="004E6DBC" w:rsidRDefault="004E6DBC" w:rsidP="00E96E4B">
      <w:pPr>
        <w:spacing w:after="0" w:line="240" w:lineRule="auto"/>
        <w:rPr>
          <w:rFonts w:ascii="Times New Roman" w:hAnsi="Times New Roman"/>
          <w:sz w:val="24"/>
          <w:szCs w:val="24"/>
        </w:rPr>
      </w:pPr>
    </w:p>
    <w:p w:rsidR="005047D9" w:rsidRDefault="001D15FE" w:rsidP="00E96E4B">
      <w:pPr>
        <w:spacing w:after="0" w:line="240" w:lineRule="auto"/>
        <w:rPr>
          <w:rFonts w:ascii="Times New Roman" w:hAnsi="Times New Roman"/>
          <w:sz w:val="24"/>
          <w:szCs w:val="24"/>
        </w:rPr>
      </w:pPr>
      <w:r w:rsidRPr="004E6DBC">
        <w:rPr>
          <w:rFonts w:ascii="Times New Roman" w:hAnsi="Times New Roman"/>
          <w:sz w:val="24"/>
          <w:szCs w:val="24"/>
        </w:rPr>
        <w:t>StreamNet provides access to regional fish data by maintaining a coordinated, standardized, web-based distributed information network. The need for regionally coordinated and readily accessible data has been identified by the Northwest Power and Conservation Council (NPCC), the Bonneville Power Administration (BPA), and the National Oceanic and Atmospheric Administration</w:t>
      </w:r>
      <w:r w:rsidR="00301F2E" w:rsidRPr="004E6DBC">
        <w:rPr>
          <w:rFonts w:ascii="Times New Roman" w:hAnsi="Times New Roman"/>
          <w:sz w:val="24"/>
          <w:szCs w:val="24"/>
        </w:rPr>
        <w:t>’s National Marine</w:t>
      </w:r>
      <w:r w:rsidRPr="004E6DBC">
        <w:rPr>
          <w:rFonts w:ascii="Times New Roman" w:hAnsi="Times New Roman"/>
          <w:sz w:val="24"/>
          <w:szCs w:val="24"/>
        </w:rPr>
        <w:t xml:space="preserve"> Fisheries </w:t>
      </w:r>
      <w:r w:rsidR="00301F2E" w:rsidRPr="004E6DBC">
        <w:rPr>
          <w:rFonts w:ascii="Times New Roman" w:hAnsi="Times New Roman"/>
          <w:sz w:val="24"/>
          <w:szCs w:val="24"/>
        </w:rPr>
        <w:t xml:space="preserve">Service </w:t>
      </w:r>
      <w:r w:rsidRPr="004E6DBC">
        <w:rPr>
          <w:rFonts w:ascii="Times New Roman" w:hAnsi="Times New Roman"/>
          <w:sz w:val="24"/>
          <w:szCs w:val="24"/>
        </w:rPr>
        <w:t>(NOAA</w:t>
      </w:r>
      <w:r w:rsidR="00301F2E" w:rsidRPr="004E6DBC">
        <w:rPr>
          <w:rFonts w:ascii="Times New Roman" w:hAnsi="Times New Roman"/>
          <w:sz w:val="24"/>
          <w:szCs w:val="24"/>
        </w:rPr>
        <w:t>-NMFS</w:t>
      </w:r>
      <w:r w:rsidRPr="004E6DBC">
        <w:rPr>
          <w:rFonts w:ascii="Times New Roman" w:hAnsi="Times New Roman"/>
          <w:sz w:val="24"/>
          <w:szCs w:val="24"/>
        </w:rPr>
        <w:t xml:space="preserve">).  StreamNet works cooperatively with the agencies that create the data through StreamNet-supported technical staff inside these agencies and by leading or coordinating a number of initiatives to aid in assuring a regional approach to data management. </w:t>
      </w:r>
    </w:p>
    <w:p w:rsidR="005047D9" w:rsidRDefault="005047D9" w:rsidP="00E96E4B">
      <w:pPr>
        <w:spacing w:after="0" w:line="240" w:lineRule="auto"/>
        <w:rPr>
          <w:rFonts w:ascii="Times New Roman" w:hAnsi="Times New Roman"/>
          <w:sz w:val="24"/>
          <w:szCs w:val="24"/>
        </w:rPr>
      </w:pPr>
    </w:p>
    <w:p w:rsidR="001D15FE" w:rsidRDefault="00E96E4B" w:rsidP="00E96E4B">
      <w:pPr>
        <w:spacing w:after="0" w:line="240" w:lineRule="auto"/>
        <w:rPr>
          <w:rFonts w:ascii="Times New Roman" w:hAnsi="Times New Roman"/>
          <w:sz w:val="24"/>
          <w:szCs w:val="24"/>
        </w:rPr>
      </w:pPr>
      <w:r w:rsidRPr="00B44276">
        <w:rPr>
          <w:rFonts w:ascii="Times New Roman" w:hAnsi="Times New Roman"/>
          <w:sz w:val="24"/>
          <w:szCs w:val="24"/>
        </w:rPr>
        <w:t xml:space="preserve">StreamNet </w:t>
      </w:r>
      <w:r w:rsidR="00450FD7" w:rsidRPr="00B44276">
        <w:rPr>
          <w:rFonts w:ascii="Times New Roman" w:hAnsi="Times New Roman"/>
          <w:sz w:val="24"/>
          <w:szCs w:val="24"/>
        </w:rPr>
        <w:t>continued to help</w:t>
      </w:r>
      <w:r w:rsidRPr="00B44276">
        <w:rPr>
          <w:rFonts w:ascii="Times New Roman" w:hAnsi="Times New Roman"/>
          <w:sz w:val="24"/>
          <w:szCs w:val="24"/>
        </w:rPr>
        <w:t xml:space="preserve"> lead implementation of the Coordinated Assessments (CA) project. </w:t>
      </w:r>
      <w:r w:rsidR="001F40BF">
        <w:rPr>
          <w:rFonts w:ascii="Times New Roman" w:hAnsi="Times New Roman"/>
          <w:sz w:val="24"/>
          <w:szCs w:val="24"/>
        </w:rPr>
        <w:t xml:space="preserve"> </w:t>
      </w:r>
      <w:r w:rsidR="005047D9" w:rsidRPr="00B44276">
        <w:rPr>
          <w:rFonts w:ascii="Times New Roman" w:hAnsi="Times New Roman"/>
          <w:sz w:val="24"/>
          <w:szCs w:val="24"/>
        </w:rPr>
        <w:t>CA focuses o</w:t>
      </w:r>
      <w:r w:rsidR="005047D9">
        <w:rPr>
          <w:rFonts w:ascii="Times New Roman" w:hAnsi="Times New Roman"/>
          <w:sz w:val="24"/>
          <w:szCs w:val="24"/>
        </w:rPr>
        <w:t>n the key population indicators</w:t>
      </w:r>
      <w:r w:rsidR="005047D9" w:rsidRPr="00B44276">
        <w:rPr>
          <w:rFonts w:ascii="Times New Roman" w:hAnsi="Times New Roman"/>
          <w:sz w:val="24"/>
          <w:szCs w:val="24"/>
        </w:rPr>
        <w:t xml:space="preserve"> </w:t>
      </w:r>
      <w:r w:rsidR="005047D9">
        <w:rPr>
          <w:rFonts w:ascii="Times New Roman" w:hAnsi="Times New Roman"/>
          <w:sz w:val="24"/>
          <w:szCs w:val="24"/>
        </w:rPr>
        <w:t>for</w:t>
      </w:r>
      <w:r w:rsidR="005047D9" w:rsidRPr="00B44276">
        <w:rPr>
          <w:rFonts w:ascii="Times New Roman" w:hAnsi="Times New Roman"/>
          <w:sz w:val="24"/>
          <w:szCs w:val="24"/>
        </w:rPr>
        <w:t xml:space="preserve"> implementation of the Federal Columbia River Power System Biological Opinion (BiOp). </w:t>
      </w:r>
      <w:r w:rsidR="001F40BF">
        <w:rPr>
          <w:rFonts w:ascii="Times New Roman" w:hAnsi="Times New Roman"/>
          <w:sz w:val="24"/>
          <w:szCs w:val="24"/>
        </w:rPr>
        <w:t xml:space="preserve"> </w:t>
      </w:r>
      <w:r w:rsidRPr="00B44276">
        <w:rPr>
          <w:rFonts w:ascii="Times New Roman" w:hAnsi="Times New Roman"/>
          <w:sz w:val="24"/>
          <w:szCs w:val="24"/>
        </w:rPr>
        <w:t xml:space="preserve">Accomplishments </w:t>
      </w:r>
      <w:r w:rsidR="00450FD7" w:rsidRPr="00B44276">
        <w:rPr>
          <w:rFonts w:ascii="Times New Roman" w:hAnsi="Times New Roman"/>
          <w:sz w:val="24"/>
          <w:szCs w:val="24"/>
        </w:rPr>
        <w:t>in 201</w:t>
      </w:r>
      <w:r w:rsidR="00A158DC">
        <w:rPr>
          <w:rFonts w:ascii="Times New Roman" w:hAnsi="Times New Roman"/>
          <w:sz w:val="24"/>
          <w:szCs w:val="24"/>
        </w:rPr>
        <w:t>4</w:t>
      </w:r>
      <w:r w:rsidR="00450FD7" w:rsidRPr="00B44276">
        <w:rPr>
          <w:rFonts w:ascii="Times New Roman" w:hAnsi="Times New Roman"/>
          <w:sz w:val="24"/>
          <w:szCs w:val="24"/>
        </w:rPr>
        <w:t xml:space="preserve"> </w:t>
      </w:r>
      <w:r w:rsidRPr="00B44276">
        <w:rPr>
          <w:rFonts w:ascii="Times New Roman" w:hAnsi="Times New Roman"/>
          <w:sz w:val="24"/>
          <w:szCs w:val="24"/>
        </w:rPr>
        <w:t xml:space="preserve">included </w:t>
      </w:r>
      <w:r w:rsidR="005047D9">
        <w:rPr>
          <w:rFonts w:ascii="Times New Roman" w:hAnsi="Times New Roman"/>
          <w:sz w:val="24"/>
          <w:szCs w:val="24"/>
        </w:rPr>
        <w:t xml:space="preserve">the </w:t>
      </w:r>
      <w:r w:rsidRPr="00B44276">
        <w:rPr>
          <w:rFonts w:ascii="Times New Roman" w:hAnsi="Times New Roman"/>
          <w:sz w:val="24"/>
          <w:szCs w:val="24"/>
        </w:rPr>
        <w:t>development of Data Exchange Standards (DES)</w:t>
      </w:r>
      <w:r w:rsidR="00450FD7" w:rsidRPr="00B44276">
        <w:rPr>
          <w:rFonts w:ascii="Times New Roman" w:hAnsi="Times New Roman"/>
          <w:sz w:val="24"/>
          <w:szCs w:val="24"/>
        </w:rPr>
        <w:t xml:space="preserve"> for key natural origin fish </w:t>
      </w:r>
      <w:r w:rsidR="005047D9">
        <w:rPr>
          <w:rFonts w:ascii="Times New Roman" w:hAnsi="Times New Roman"/>
          <w:sz w:val="24"/>
          <w:szCs w:val="24"/>
        </w:rPr>
        <w:t xml:space="preserve">indicators and </w:t>
      </w:r>
      <w:r w:rsidR="00450FD7" w:rsidRPr="00B44276">
        <w:rPr>
          <w:rFonts w:ascii="Times New Roman" w:hAnsi="Times New Roman"/>
          <w:sz w:val="24"/>
          <w:szCs w:val="24"/>
        </w:rPr>
        <w:t>metrics</w:t>
      </w:r>
      <w:r w:rsidRPr="00B44276">
        <w:rPr>
          <w:rFonts w:ascii="Times New Roman" w:hAnsi="Times New Roman"/>
          <w:sz w:val="24"/>
          <w:szCs w:val="24"/>
        </w:rPr>
        <w:t xml:space="preserve">.  </w:t>
      </w:r>
      <w:r w:rsidR="00A158DC">
        <w:rPr>
          <w:rFonts w:ascii="Times New Roman" w:hAnsi="Times New Roman"/>
          <w:sz w:val="24"/>
          <w:szCs w:val="24"/>
        </w:rPr>
        <w:t>High Level Indicator Data for th</w:t>
      </w:r>
      <w:r w:rsidR="00FC5BAC">
        <w:rPr>
          <w:rFonts w:ascii="Times New Roman" w:hAnsi="Times New Roman"/>
          <w:sz w:val="24"/>
          <w:szCs w:val="24"/>
        </w:rPr>
        <w:t xml:space="preserve">e CA project started to flow </w:t>
      </w:r>
      <w:r w:rsidR="00A158DC">
        <w:rPr>
          <w:rFonts w:ascii="Times New Roman" w:hAnsi="Times New Roman"/>
          <w:sz w:val="24"/>
          <w:szCs w:val="24"/>
        </w:rPr>
        <w:t>to StreamNet in</w:t>
      </w:r>
      <w:r w:rsidR="00FC5BAC">
        <w:rPr>
          <w:rFonts w:ascii="Times New Roman" w:hAnsi="Times New Roman"/>
          <w:sz w:val="24"/>
          <w:szCs w:val="24"/>
        </w:rPr>
        <w:t xml:space="preserve"> </w:t>
      </w:r>
      <w:r w:rsidR="00A158DC">
        <w:rPr>
          <w:rFonts w:ascii="Times New Roman" w:hAnsi="Times New Roman"/>
          <w:sz w:val="24"/>
          <w:szCs w:val="24"/>
        </w:rPr>
        <w:t>2014</w:t>
      </w:r>
      <w:r w:rsidR="00FC5BAC">
        <w:rPr>
          <w:rFonts w:ascii="Times New Roman" w:hAnsi="Times New Roman"/>
          <w:sz w:val="24"/>
          <w:szCs w:val="24"/>
        </w:rPr>
        <w:t>. Sta</w:t>
      </w:r>
      <w:r w:rsidR="00A158DC">
        <w:rPr>
          <w:rFonts w:ascii="Times New Roman" w:hAnsi="Times New Roman"/>
          <w:sz w:val="24"/>
          <w:szCs w:val="24"/>
        </w:rPr>
        <w:t xml:space="preserve">tes and tribes provided </w:t>
      </w:r>
      <w:r w:rsidR="001D15FE">
        <w:rPr>
          <w:rFonts w:ascii="Times New Roman" w:hAnsi="Times New Roman"/>
          <w:sz w:val="24"/>
          <w:szCs w:val="24"/>
        </w:rPr>
        <w:t>estimates of available data for the first indicators which should be provided to StreamNet in 2015</w:t>
      </w:r>
      <w:r w:rsidR="00FC5BAC">
        <w:rPr>
          <w:rFonts w:ascii="Times New Roman" w:hAnsi="Times New Roman"/>
          <w:sz w:val="24"/>
          <w:szCs w:val="24"/>
        </w:rPr>
        <w:t>. This table shows the data estimates for just the ESA listed populations, as outlined by the Technical Recovery Teams (TRT)</w:t>
      </w:r>
      <w:r w:rsidR="001D15FE">
        <w:rPr>
          <w:rFonts w:ascii="Times New Roman" w:hAnsi="Times New Roman"/>
          <w:sz w:val="24"/>
          <w:szCs w:val="24"/>
        </w:rPr>
        <w:t>;</w:t>
      </w:r>
    </w:p>
    <w:p w:rsidR="001D15FE" w:rsidRDefault="001D15FE" w:rsidP="00E96E4B">
      <w:pPr>
        <w:spacing w:after="0" w:line="240" w:lineRule="auto"/>
        <w:rPr>
          <w:rFonts w:ascii="Times New Roman" w:hAnsi="Times New Roman"/>
          <w:sz w:val="24"/>
          <w:szCs w:val="24"/>
        </w:rPr>
      </w:pPr>
    </w:p>
    <w:tbl>
      <w:tblPr>
        <w:tblStyle w:val="TableGrid1"/>
        <w:tblW w:w="9265" w:type="dxa"/>
        <w:tblLayout w:type="fixed"/>
        <w:tblLook w:val="04A0" w:firstRow="1" w:lastRow="0" w:firstColumn="1" w:lastColumn="0" w:noHBand="0" w:noVBand="1"/>
      </w:tblPr>
      <w:tblGrid>
        <w:gridCol w:w="3415"/>
        <w:gridCol w:w="1350"/>
        <w:gridCol w:w="810"/>
        <w:gridCol w:w="900"/>
        <w:gridCol w:w="810"/>
        <w:gridCol w:w="900"/>
        <w:gridCol w:w="1080"/>
      </w:tblGrid>
      <w:tr w:rsidR="001D15FE" w:rsidRPr="001D15FE" w:rsidTr="001D15FE">
        <w:trPr>
          <w:trHeight w:val="827"/>
        </w:trPr>
        <w:tc>
          <w:tcPr>
            <w:tcW w:w="9265" w:type="dxa"/>
            <w:gridSpan w:val="7"/>
            <w:shd w:val="clear" w:color="auto" w:fill="95B3D7"/>
          </w:tcPr>
          <w:p w:rsidR="001D15FE" w:rsidRPr="001D15FE" w:rsidRDefault="001D15FE" w:rsidP="001D15FE">
            <w:pPr>
              <w:jc w:val="center"/>
              <w:rPr>
                <w:b/>
                <w:sz w:val="32"/>
                <w:szCs w:val="32"/>
              </w:rPr>
            </w:pPr>
            <w:r w:rsidRPr="001D15FE">
              <w:rPr>
                <w:sz w:val="32"/>
                <w:szCs w:val="32"/>
              </w:rPr>
              <w:t xml:space="preserve">216 TRT populations listed in the </w:t>
            </w:r>
            <w:r w:rsidRPr="001D15FE">
              <w:rPr>
                <w:b/>
                <w:sz w:val="32"/>
                <w:szCs w:val="32"/>
              </w:rPr>
              <w:t>Interior Columbia &amp;</w:t>
            </w:r>
          </w:p>
          <w:p w:rsidR="001D15FE" w:rsidRPr="001D15FE" w:rsidRDefault="001D15FE" w:rsidP="001D15FE">
            <w:pPr>
              <w:jc w:val="center"/>
              <w:rPr>
                <w:sz w:val="32"/>
                <w:szCs w:val="32"/>
              </w:rPr>
            </w:pPr>
            <w:r w:rsidRPr="001D15FE">
              <w:rPr>
                <w:b/>
                <w:sz w:val="32"/>
                <w:szCs w:val="32"/>
              </w:rPr>
              <w:t>Lower Columbia/Willamette</w:t>
            </w:r>
            <w:r w:rsidRPr="001D15FE">
              <w:rPr>
                <w:sz w:val="32"/>
                <w:szCs w:val="32"/>
              </w:rPr>
              <w:t xml:space="preserve"> Recovery Domains</w:t>
            </w:r>
          </w:p>
        </w:tc>
      </w:tr>
      <w:tr w:rsidR="001D15FE" w:rsidRPr="001D15FE" w:rsidTr="001D15FE">
        <w:trPr>
          <w:trHeight w:val="737"/>
        </w:trPr>
        <w:tc>
          <w:tcPr>
            <w:tcW w:w="9265" w:type="dxa"/>
            <w:gridSpan w:val="7"/>
            <w:shd w:val="clear" w:color="auto" w:fill="DBE5F1"/>
          </w:tcPr>
          <w:p w:rsidR="001D15FE" w:rsidRPr="001D15FE" w:rsidRDefault="001D15FE" w:rsidP="001D15FE">
            <w:pPr>
              <w:jc w:val="center"/>
              <w:rPr>
                <w:b/>
                <w:sz w:val="28"/>
                <w:szCs w:val="28"/>
              </w:rPr>
            </w:pPr>
          </w:p>
          <w:p w:rsidR="001D15FE" w:rsidRPr="001D15FE" w:rsidRDefault="001D15FE" w:rsidP="001D15FE">
            <w:pPr>
              <w:jc w:val="center"/>
              <w:rPr>
                <w:b/>
                <w:sz w:val="28"/>
                <w:szCs w:val="28"/>
              </w:rPr>
            </w:pPr>
            <w:r w:rsidRPr="001D15FE">
              <w:rPr>
                <w:b/>
                <w:sz w:val="28"/>
                <w:szCs w:val="28"/>
              </w:rPr>
              <w:t xml:space="preserve">Predicted </w:t>
            </w:r>
            <w:r w:rsidRPr="001D15FE">
              <w:rPr>
                <w:sz w:val="28"/>
                <w:szCs w:val="28"/>
              </w:rPr>
              <w:t>reporting for TRT populations in FY 2015</w:t>
            </w:r>
          </w:p>
        </w:tc>
      </w:tr>
      <w:tr w:rsidR="001D15FE" w:rsidRPr="001D15FE" w:rsidTr="001D15FE">
        <w:tc>
          <w:tcPr>
            <w:tcW w:w="3415" w:type="dxa"/>
            <w:shd w:val="clear" w:color="auto" w:fill="DBE5F1"/>
            <w:vAlign w:val="bottom"/>
          </w:tcPr>
          <w:p w:rsidR="001D15FE" w:rsidRPr="001D15FE" w:rsidRDefault="001D15FE" w:rsidP="001D15FE">
            <w:pPr>
              <w:jc w:val="center"/>
              <w:rPr>
                <w:b/>
              </w:rPr>
            </w:pPr>
            <w:r w:rsidRPr="001D15FE">
              <w:rPr>
                <w:b/>
              </w:rPr>
              <w:t>Indicator</w:t>
            </w:r>
          </w:p>
        </w:tc>
        <w:tc>
          <w:tcPr>
            <w:tcW w:w="1350" w:type="dxa"/>
            <w:shd w:val="clear" w:color="auto" w:fill="DBE5F1"/>
            <w:vAlign w:val="bottom"/>
          </w:tcPr>
          <w:p w:rsidR="001D15FE" w:rsidRPr="001D15FE" w:rsidRDefault="001D15FE" w:rsidP="001D15FE">
            <w:pPr>
              <w:jc w:val="center"/>
              <w:rPr>
                <w:b/>
              </w:rPr>
            </w:pPr>
            <w:r w:rsidRPr="001D15FE">
              <w:rPr>
                <w:b/>
              </w:rPr>
              <w:t>Predicted/</w:t>
            </w:r>
          </w:p>
          <w:p w:rsidR="001D15FE" w:rsidRPr="001D15FE" w:rsidRDefault="001D15FE" w:rsidP="001D15FE">
            <w:pPr>
              <w:jc w:val="center"/>
            </w:pPr>
            <w:r w:rsidRPr="001D15FE">
              <w:t>Total TRT</w:t>
            </w:r>
          </w:p>
        </w:tc>
        <w:tc>
          <w:tcPr>
            <w:tcW w:w="810" w:type="dxa"/>
            <w:shd w:val="clear" w:color="auto" w:fill="DBE5F1"/>
            <w:vAlign w:val="bottom"/>
          </w:tcPr>
          <w:p w:rsidR="001D15FE" w:rsidRPr="001D15FE" w:rsidRDefault="001D15FE" w:rsidP="001D15FE">
            <w:pPr>
              <w:jc w:val="center"/>
              <w:rPr>
                <w:b/>
              </w:rPr>
            </w:pPr>
            <w:r w:rsidRPr="001D15FE">
              <w:rPr>
                <w:b/>
                <w:color w:val="7F7F7F"/>
                <w:sz w:val="16"/>
                <w:szCs w:val="16"/>
              </w:rPr>
              <w:t>Pred./Ttl</w:t>
            </w:r>
            <w:r w:rsidRPr="001D15FE">
              <w:rPr>
                <w:b/>
              </w:rPr>
              <w:t>%</w:t>
            </w:r>
          </w:p>
        </w:tc>
        <w:tc>
          <w:tcPr>
            <w:tcW w:w="900" w:type="dxa"/>
            <w:shd w:val="clear" w:color="auto" w:fill="DBE5F1"/>
            <w:vAlign w:val="bottom"/>
          </w:tcPr>
          <w:p w:rsidR="001D15FE" w:rsidRPr="001D15FE" w:rsidRDefault="001D15FE" w:rsidP="001D15FE">
            <w:pPr>
              <w:jc w:val="center"/>
              <w:rPr>
                <w:b/>
              </w:rPr>
            </w:pPr>
            <w:r w:rsidRPr="001D15FE">
              <w:rPr>
                <w:b/>
              </w:rPr>
              <w:t>ODFW</w:t>
            </w:r>
          </w:p>
        </w:tc>
        <w:tc>
          <w:tcPr>
            <w:tcW w:w="810" w:type="dxa"/>
            <w:shd w:val="clear" w:color="auto" w:fill="DBE5F1"/>
            <w:vAlign w:val="bottom"/>
          </w:tcPr>
          <w:p w:rsidR="001D15FE" w:rsidRPr="001D15FE" w:rsidRDefault="001D15FE" w:rsidP="001D15FE">
            <w:pPr>
              <w:jc w:val="center"/>
              <w:rPr>
                <w:b/>
              </w:rPr>
            </w:pPr>
            <w:r w:rsidRPr="001D15FE">
              <w:rPr>
                <w:b/>
              </w:rPr>
              <w:t>IDFG</w:t>
            </w:r>
            <w:r w:rsidRPr="001D15FE">
              <w:rPr>
                <w:b/>
                <w:color w:val="632423"/>
                <w:sz w:val="20"/>
                <w:szCs w:val="20"/>
                <w:vertAlign w:val="superscript"/>
              </w:rPr>
              <w:t>Ӿ</w:t>
            </w:r>
          </w:p>
        </w:tc>
        <w:tc>
          <w:tcPr>
            <w:tcW w:w="900" w:type="dxa"/>
            <w:shd w:val="clear" w:color="auto" w:fill="DBE5F1"/>
            <w:vAlign w:val="bottom"/>
          </w:tcPr>
          <w:p w:rsidR="001D15FE" w:rsidRPr="001D15FE" w:rsidRDefault="001D15FE" w:rsidP="001D15FE">
            <w:pPr>
              <w:jc w:val="center"/>
              <w:rPr>
                <w:b/>
              </w:rPr>
            </w:pPr>
            <w:r w:rsidRPr="001D15FE">
              <w:rPr>
                <w:b/>
              </w:rPr>
              <w:t>WDFW</w:t>
            </w:r>
          </w:p>
        </w:tc>
        <w:tc>
          <w:tcPr>
            <w:tcW w:w="1080" w:type="dxa"/>
            <w:shd w:val="clear" w:color="auto" w:fill="DBE5F1"/>
            <w:vAlign w:val="bottom"/>
          </w:tcPr>
          <w:p w:rsidR="001D15FE" w:rsidRPr="001D15FE" w:rsidRDefault="001D15FE" w:rsidP="001D15FE">
            <w:pPr>
              <w:jc w:val="center"/>
              <w:rPr>
                <w:b/>
              </w:rPr>
            </w:pPr>
            <w:r w:rsidRPr="001D15FE">
              <w:rPr>
                <w:b/>
              </w:rPr>
              <w:t>Tribes*</w:t>
            </w:r>
          </w:p>
        </w:tc>
      </w:tr>
      <w:tr w:rsidR="001D15FE" w:rsidRPr="001D15FE" w:rsidTr="00003046">
        <w:tc>
          <w:tcPr>
            <w:tcW w:w="3415" w:type="dxa"/>
          </w:tcPr>
          <w:p w:rsidR="001D15FE" w:rsidRPr="001D15FE" w:rsidRDefault="001D15FE" w:rsidP="001D15FE">
            <w:pPr>
              <w:jc w:val="center"/>
            </w:pPr>
            <w:r w:rsidRPr="001D15FE">
              <w:rPr>
                <w:b/>
              </w:rPr>
              <w:t>N</w:t>
            </w:r>
            <w:r w:rsidRPr="001D15FE">
              <w:t xml:space="preserve">atural </w:t>
            </w:r>
            <w:r w:rsidRPr="001D15FE">
              <w:rPr>
                <w:b/>
              </w:rPr>
              <w:t>O</w:t>
            </w:r>
            <w:r w:rsidRPr="001D15FE">
              <w:t xml:space="preserve">rigin </w:t>
            </w:r>
            <w:r w:rsidRPr="001D15FE">
              <w:rPr>
                <w:b/>
              </w:rPr>
              <w:t>S</w:t>
            </w:r>
            <w:r w:rsidRPr="001D15FE">
              <w:t xml:space="preserve">pawner </w:t>
            </w:r>
            <w:r w:rsidRPr="001D15FE">
              <w:rPr>
                <w:b/>
              </w:rPr>
              <w:t>A</w:t>
            </w:r>
            <w:r w:rsidRPr="001D15FE">
              <w:t>bundance</w:t>
            </w:r>
          </w:p>
        </w:tc>
        <w:tc>
          <w:tcPr>
            <w:tcW w:w="1350" w:type="dxa"/>
          </w:tcPr>
          <w:p w:rsidR="001D15FE" w:rsidRPr="001D15FE" w:rsidRDefault="001D15FE" w:rsidP="001D15FE">
            <w:pPr>
              <w:jc w:val="right"/>
            </w:pPr>
            <w:r w:rsidRPr="001D15FE">
              <w:rPr>
                <w:b/>
              </w:rPr>
              <w:t>133</w:t>
            </w:r>
            <w:r w:rsidRPr="001D15FE">
              <w:t>/216</w:t>
            </w:r>
          </w:p>
        </w:tc>
        <w:tc>
          <w:tcPr>
            <w:tcW w:w="810" w:type="dxa"/>
          </w:tcPr>
          <w:p w:rsidR="001D15FE" w:rsidRPr="001D15FE" w:rsidRDefault="001D15FE" w:rsidP="001D15FE">
            <w:pPr>
              <w:jc w:val="right"/>
            </w:pPr>
            <w:r w:rsidRPr="001D15FE">
              <w:t xml:space="preserve">  61.6</w:t>
            </w:r>
          </w:p>
        </w:tc>
        <w:tc>
          <w:tcPr>
            <w:tcW w:w="900" w:type="dxa"/>
          </w:tcPr>
          <w:p w:rsidR="001D15FE" w:rsidRPr="001D15FE" w:rsidRDefault="001D15FE" w:rsidP="001D15FE">
            <w:pPr>
              <w:jc w:val="right"/>
            </w:pPr>
            <w:r w:rsidRPr="001D15FE">
              <w:t>40</w:t>
            </w:r>
          </w:p>
        </w:tc>
        <w:tc>
          <w:tcPr>
            <w:tcW w:w="810" w:type="dxa"/>
          </w:tcPr>
          <w:p w:rsidR="001D15FE" w:rsidRPr="001D15FE" w:rsidRDefault="001D15FE" w:rsidP="001D15FE">
            <w:pPr>
              <w:jc w:val="right"/>
            </w:pPr>
            <w:r w:rsidRPr="001D15FE">
              <w:t>29</w:t>
            </w:r>
          </w:p>
        </w:tc>
        <w:tc>
          <w:tcPr>
            <w:tcW w:w="900" w:type="dxa"/>
          </w:tcPr>
          <w:p w:rsidR="001D15FE" w:rsidRPr="001D15FE" w:rsidRDefault="001D15FE" w:rsidP="001D15FE">
            <w:pPr>
              <w:jc w:val="right"/>
            </w:pPr>
            <w:r w:rsidRPr="001D15FE">
              <w:t>63</w:t>
            </w:r>
          </w:p>
        </w:tc>
        <w:tc>
          <w:tcPr>
            <w:tcW w:w="1080" w:type="dxa"/>
          </w:tcPr>
          <w:p w:rsidR="001D15FE" w:rsidRPr="001D15FE" w:rsidRDefault="001D15FE" w:rsidP="001D15FE">
            <w:pPr>
              <w:jc w:val="right"/>
            </w:pPr>
            <w:r w:rsidRPr="001D15FE">
              <w:t>1</w:t>
            </w:r>
          </w:p>
        </w:tc>
      </w:tr>
      <w:tr w:rsidR="001D15FE" w:rsidRPr="001D15FE" w:rsidTr="00003046">
        <w:tc>
          <w:tcPr>
            <w:tcW w:w="3415" w:type="dxa"/>
          </w:tcPr>
          <w:p w:rsidR="001D15FE" w:rsidRPr="001D15FE" w:rsidRDefault="001D15FE" w:rsidP="001D15FE">
            <w:pPr>
              <w:jc w:val="center"/>
            </w:pPr>
            <w:r w:rsidRPr="001D15FE">
              <w:rPr>
                <w:b/>
              </w:rPr>
              <w:t>R</w:t>
            </w:r>
            <w:r w:rsidRPr="001D15FE">
              <w:t xml:space="preserve">ecruits </w:t>
            </w:r>
            <w:r w:rsidRPr="001D15FE">
              <w:rPr>
                <w:b/>
              </w:rPr>
              <w:t>per</w:t>
            </w:r>
            <w:r w:rsidRPr="001D15FE">
              <w:t xml:space="preserve"> </w:t>
            </w:r>
            <w:r w:rsidRPr="001D15FE">
              <w:rPr>
                <w:b/>
              </w:rPr>
              <w:t>S</w:t>
            </w:r>
            <w:r w:rsidRPr="001D15FE">
              <w:t>pawner</w:t>
            </w:r>
          </w:p>
        </w:tc>
        <w:tc>
          <w:tcPr>
            <w:tcW w:w="1350" w:type="dxa"/>
          </w:tcPr>
          <w:p w:rsidR="001D15FE" w:rsidRPr="001D15FE" w:rsidRDefault="001D15FE" w:rsidP="001D15FE">
            <w:pPr>
              <w:jc w:val="right"/>
            </w:pPr>
            <w:r w:rsidRPr="001D15FE">
              <w:rPr>
                <w:b/>
              </w:rPr>
              <w:t>34</w:t>
            </w:r>
            <w:r w:rsidRPr="001D15FE">
              <w:t>/216</w:t>
            </w:r>
          </w:p>
        </w:tc>
        <w:tc>
          <w:tcPr>
            <w:tcW w:w="810" w:type="dxa"/>
          </w:tcPr>
          <w:p w:rsidR="001D15FE" w:rsidRPr="001D15FE" w:rsidRDefault="001D15FE" w:rsidP="001D15FE">
            <w:pPr>
              <w:jc w:val="right"/>
            </w:pPr>
            <w:r w:rsidRPr="001D15FE">
              <w:t>15.7</w:t>
            </w:r>
          </w:p>
        </w:tc>
        <w:tc>
          <w:tcPr>
            <w:tcW w:w="900" w:type="dxa"/>
          </w:tcPr>
          <w:p w:rsidR="001D15FE" w:rsidRPr="001D15FE" w:rsidRDefault="001D15FE" w:rsidP="001D15FE">
            <w:pPr>
              <w:jc w:val="right"/>
            </w:pPr>
            <w:r w:rsidRPr="001D15FE">
              <w:t>19</w:t>
            </w:r>
          </w:p>
        </w:tc>
        <w:tc>
          <w:tcPr>
            <w:tcW w:w="810" w:type="dxa"/>
          </w:tcPr>
          <w:p w:rsidR="001D15FE" w:rsidRPr="001D15FE" w:rsidRDefault="001D15FE" w:rsidP="001D15FE">
            <w:pPr>
              <w:jc w:val="right"/>
            </w:pPr>
            <w:r w:rsidRPr="001D15FE">
              <w:t>15</w:t>
            </w:r>
          </w:p>
        </w:tc>
        <w:tc>
          <w:tcPr>
            <w:tcW w:w="900" w:type="dxa"/>
          </w:tcPr>
          <w:p w:rsidR="001D15FE" w:rsidRPr="001D15FE" w:rsidRDefault="001D15FE" w:rsidP="001D15FE">
            <w:pPr>
              <w:jc w:val="right"/>
            </w:pPr>
          </w:p>
        </w:tc>
        <w:tc>
          <w:tcPr>
            <w:tcW w:w="1080" w:type="dxa"/>
          </w:tcPr>
          <w:p w:rsidR="001D15FE" w:rsidRPr="001D15FE" w:rsidRDefault="001D15FE" w:rsidP="001D15FE">
            <w:pPr>
              <w:jc w:val="right"/>
            </w:pPr>
          </w:p>
        </w:tc>
      </w:tr>
      <w:tr w:rsidR="001D15FE" w:rsidRPr="001D15FE" w:rsidTr="00003046">
        <w:tc>
          <w:tcPr>
            <w:tcW w:w="3415" w:type="dxa"/>
          </w:tcPr>
          <w:p w:rsidR="001D15FE" w:rsidRPr="001D15FE" w:rsidRDefault="001D15FE" w:rsidP="001D15FE">
            <w:pPr>
              <w:jc w:val="center"/>
            </w:pPr>
            <w:r w:rsidRPr="001D15FE">
              <w:rPr>
                <w:b/>
              </w:rPr>
              <w:t>S</w:t>
            </w:r>
            <w:r w:rsidRPr="001D15FE">
              <w:t xml:space="preserve">molt to </w:t>
            </w:r>
            <w:r w:rsidRPr="001D15FE">
              <w:rPr>
                <w:b/>
              </w:rPr>
              <w:t>A</w:t>
            </w:r>
            <w:r w:rsidRPr="001D15FE">
              <w:t xml:space="preserve">dult </w:t>
            </w:r>
            <w:r w:rsidRPr="001D15FE">
              <w:rPr>
                <w:b/>
              </w:rPr>
              <w:t>R</w:t>
            </w:r>
            <w:r w:rsidRPr="001D15FE">
              <w:t>atio</w:t>
            </w:r>
          </w:p>
        </w:tc>
        <w:tc>
          <w:tcPr>
            <w:tcW w:w="1350" w:type="dxa"/>
          </w:tcPr>
          <w:p w:rsidR="001D15FE" w:rsidRPr="001D15FE" w:rsidRDefault="001D15FE" w:rsidP="001D15FE">
            <w:pPr>
              <w:jc w:val="right"/>
            </w:pPr>
            <w:r w:rsidRPr="001D15FE">
              <w:rPr>
                <w:b/>
              </w:rPr>
              <w:t>3</w:t>
            </w:r>
            <w:r w:rsidRPr="001D15FE">
              <w:t>/216</w:t>
            </w:r>
          </w:p>
        </w:tc>
        <w:tc>
          <w:tcPr>
            <w:tcW w:w="810" w:type="dxa"/>
          </w:tcPr>
          <w:p w:rsidR="001D15FE" w:rsidRPr="001D15FE" w:rsidRDefault="001D15FE" w:rsidP="001D15FE">
            <w:pPr>
              <w:jc w:val="right"/>
            </w:pPr>
            <w:r w:rsidRPr="001D15FE">
              <w:t>1.4</w:t>
            </w:r>
          </w:p>
        </w:tc>
        <w:tc>
          <w:tcPr>
            <w:tcW w:w="900" w:type="dxa"/>
          </w:tcPr>
          <w:p w:rsidR="001D15FE" w:rsidRPr="001D15FE" w:rsidRDefault="001D15FE" w:rsidP="001D15FE">
            <w:pPr>
              <w:jc w:val="right"/>
            </w:pPr>
            <w:r w:rsidRPr="001D15FE">
              <w:t>1</w:t>
            </w:r>
          </w:p>
        </w:tc>
        <w:tc>
          <w:tcPr>
            <w:tcW w:w="810" w:type="dxa"/>
          </w:tcPr>
          <w:p w:rsidR="001D15FE" w:rsidRPr="001D15FE" w:rsidRDefault="001D15FE" w:rsidP="001D15FE">
            <w:pPr>
              <w:jc w:val="right"/>
            </w:pPr>
            <w:r w:rsidRPr="001D15FE">
              <w:t>1</w:t>
            </w:r>
          </w:p>
        </w:tc>
        <w:tc>
          <w:tcPr>
            <w:tcW w:w="900" w:type="dxa"/>
          </w:tcPr>
          <w:p w:rsidR="001D15FE" w:rsidRPr="001D15FE" w:rsidRDefault="001D15FE" w:rsidP="001D15FE">
            <w:pPr>
              <w:jc w:val="right"/>
            </w:pPr>
            <w:r w:rsidRPr="001D15FE">
              <w:t>1</w:t>
            </w:r>
          </w:p>
        </w:tc>
        <w:tc>
          <w:tcPr>
            <w:tcW w:w="1080" w:type="dxa"/>
          </w:tcPr>
          <w:p w:rsidR="001D15FE" w:rsidRPr="001D15FE" w:rsidRDefault="001D15FE" w:rsidP="001D15FE">
            <w:pPr>
              <w:jc w:val="right"/>
            </w:pPr>
          </w:p>
        </w:tc>
      </w:tr>
      <w:tr w:rsidR="001D15FE" w:rsidRPr="001D15FE" w:rsidTr="00003046">
        <w:tc>
          <w:tcPr>
            <w:tcW w:w="3415" w:type="dxa"/>
          </w:tcPr>
          <w:p w:rsidR="001D15FE" w:rsidRPr="001D15FE" w:rsidRDefault="001D15FE" w:rsidP="001D15FE">
            <w:pPr>
              <w:jc w:val="center"/>
            </w:pPr>
            <w:r w:rsidRPr="001D15FE">
              <w:rPr>
                <w:b/>
              </w:rPr>
              <w:t>J</w:t>
            </w:r>
            <w:r w:rsidRPr="001D15FE">
              <w:t xml:space="preserve">uvenile </w:t>
            </w:r>
            <w:r w:rsidRPr="001D15FE">
              <w:rPr>
                <w:b/>
              </w:rPr>
              <w:t>A</w:t>
            </w:r>
            <w:r w:rsidRPr="001D15FE">
              <w:t>bundance</w:t>
            </w:r>
          </w:p>
        </w:tc>
        <w:tc>
          <w:tcPr>
            <w:tcW w:w="1350" w:type="dxa"/>
          </w:tcPr>
          <w:p w:rsidR="001D15FE" w:rsidRPr="001D15FE" w:rsidRDefault="001D15FE" w:rsidP="001D15FE">
            <w:pPr>
              <w:jc w:val="right"/>
            </w:pPr>
            <w:r w:rsidRPr="001D15FE">
              <w:rPr>
                <w:b/>
              </w:rPr>
              <w:t>25</w:t>
            </w:r>
            <w:r w:rsidRPr="001D15FE">
              <w:t>/216</w:t>
            </w:r>
          </w:p>
        </w:tc>
        <w:tc>
          <w:tcPr>
            <w:tcW w:w="810" w:type="dxa"/>
          </w:tcPr>
          <w:p w:rsidR="001D15FE" w:rsidRPr="001D15FE" w:rsidRDefault="001D15FE" w:rsidP="001D15FE">
            <w:pPr>
              <w:jc w:val="right"/>
            </w:pPr>
            <w:r w:rsidRPr="001D15FE">
              <w:t>11.6</w:t>
            </w:r>
          </w:p>
        </w:tc>
        <w:tc>
          <w:tcPr>
            <w:tcW w:w="900" w:type="dxa"/>
          </w:tcPr>
          <w:p w:rsidR="001D15FE" w:rsidRPr="001D15FE" w:rsidRDefault="001D15FE" w:rsidP="001D15FE">
            <w:pPr>
              <w:jc w:val="right"/>
            </w:pPr>
          </w:p>
        </w:tc>
        <w:tc>
          <w:tcPr>
            <w:tcW w:w="810" w:type="dxa"/>
          </w:tcPr>
          <w:p w:rsidR="001D15FE" w:rsidRPr="001D15FE" w:rsidRDefault="001D15FE" w:rsidP="001D15FE">
            <w:pPr>
              <w:jc w:val="right"/>
            </w:pPr>
          </w:p>
        </w:tc>
        <w:tc>
          <w:tcPr>
            <w:tcW w:w="900" w:type="dxa"/>
          </w:tcPr>
          <w:p w:rsidR="001D15FE" w:rsidRPr="001D15FE" w:rsidRDefault="001D15FE" w:rsidP="001D15FE">
            <w:pPr>
              <w:jc w:val="right"/>
            </w:pPr>
          </w:p>
        </w:tc>
        <w:tc>
          <w:tcPr>
            <w:tcW w:w="1080" w:type="dxa"/>
          </w:tcPr>
          <w:p w:rsidR="001D15FE" w:rsidRPr="001D15FE" w:rsidRDefault="001D15FE" w:rsidP="001D15FE">
            <w:pPr>
              <w:jc w:val="right"/>
            </w:pPr>
          </w:p>
        </w:tc>
      </w:tr>
    </w:tbl>
    <w:p w:rsidR="001D15FE" w:rsidRPr="001D15FE" w:rsidRDefault="001D15FE" w:rsidP="001D15FE">
      <w:pPr>
        <w:rPr>
          <w:sz w:val="16"/>
          <w:szCs w:val="16"/>
        </w:rPr>
      </w:pPr>
      <w:r w:rsidRPr="001D15FE">
        <w:t xml:space="preserve">      </w:t>
      </w:r>
      <w:r w:rsidRPr="001D15FE">
        <w:rPr>
          <w:b/>
          <w:color w:val="632423"/>
          <w:sz w:val="20"/>
          <w:szCs w:val="20"/>
          <w:vertAlign w:val="superscript"/>
        </w:rPr>
        <w:t>Ӿ</w:t>
      </w:r>
      <w:r w:rsidRPr="001D15FE">
        <w:rPr>
          <w:sz w:val="16"/>
          <w:szCs w:val="16"/>
        </w:rPr>
        <w:t xml:space="preserve">Includes estimates coordinated with ISEMP and/or NPT </w:t>
      </w:r>
      <w:r w:rsidRPr="001D15FE">
        <w:t xml:space="preserve">           </w:t>
      </w:r>
      <w:r w:rsidRPr="001D15FE">
        <w:rPr>
          <w:sz w:val="16"/>
          <w:szCs w:val="16"/>
        </w:rPr>
        <w:t xml:space="preserve"> </w:t>
      </w:r>
      <w:r w:rsidRPr="001D15FE">
        <w:rPr>
          <w:b/>
        </w:rPr>
        <w:t>*</w:t>
      </w:r>
      <w:r w:rsidRPr="001D15FE">
        <w:rPr>
          <w:sz w:val="16"/>
          <w:szCs w:val="16"/>
        </w:rPr>
        <w:t>Comprehen</w:t>
      </w:r>
      <w:r>
        <w:rPr>
          <w:sz w:val="16"/>
          <w:szCs w:val="16"/>
        </w:rPr>
        <w:t>sive only for StreamNet Partner Tribes</w:t>
      </w:r>
    </w:p>
    <w:p w:rsidR="00E96E4B" w:rsidRPr="00B44276" w:rsidRDefault="001D15FE" w:rsidP="00E96E4B">
      <w:pPr>
        <w:spacing w:after="0" w:line="240" w:lineRule="auto"/>
        <w:rPr>
          <w:rFonts w:ascii="Times New Roman" w:hAnsi="Times New Roman"/>
          <w:sz w:val="24"/>
          <w:szCs w:val="24"/>
        </w:rPr>
      </w:pPr>
      <w:r>
        <w:rPr>
          <w:rFonts w:ascii="Times New Roman" w:hAnsi="Times New Roman"/>
          <w:sz w:val="24"/>
          <w:szCs w:val="24"/>
        </w:rPr>
        <w:lastRenderedPageBreak/>
        <w:t>A major update to the StreamNet website was completed in 2014. Below is an “infographic” from the new site providing an overview of StreamNet project priorities;</w:t>
      </w:r>
    </w:p>
    <w:p w:rsidR="00B44276" w:rsidRDefault="00B44276" w:rsidP="00E96E4B">
      <w:pPr>
        <w:spacing w:after="0" w:line="240" w:lineRule="auto"/>
        <w:rPr>
          <w:rFonts w:ascii="Times New Roman" w:hAnsi="Times New Roman"/>
          <w:b/>
          <w:sz w:val="24"/>
          <w:szCs w:val="24"/>
        </w:rPr>
      </w:pPr>
    </w:p>
    <w:p w:rsidR="00A158DC" w:rsidRDefault="00A158DC" w:rsidP="00E96E4B">
      <w:pPr>
        <w:spacing w:after="0" w:line="240" w:lineRule="auto"/>
        <w:rPr>
          <w:rFonts w:ascii="Times New Roman" w:hAnsi="Times New Roman"/>
          <w:b/>
          <w:sz w:val="24"/>
          <w:szCs w:val="24"/>
        </w:rPr>
      </w:pPr>
      <w:r>
        <w:rPr>
          <w:rFonts w:asciiTheme="majorHAnsi" w:eastAsiaTheme="majorEastAsia" w:hAnsiTheme="majorHAnsi" w:cstheme="majorBidi"/>
          <w:b/>
          <w:noProof/>
          <w:color w:val="5B9BD5" w:themeColor="accent1"/>
          <w:sz w:val="26"/>
          <w:szCs w:val="26"/>
        </w:rPr>
        <w:drawing>
          <wp:inline distT="0" distB="0" distL="0" distR="0" wp14:anchorId="262901AA" wp14:editId="0E31AA02">
            <wp:extent cx="5925312" cy="4572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25312" cy="4572000"/>
                    </a:xfrm>
                    <a:prstGeom prst="rect">
                      <a:avLst/>
                    </a:prstGeom>
                    <a:noFill/>
                  </pic:spPr>
                </pic:pic>
              </a:graphicData>
            </a:graphic>
          </wp:inline>
        </w:drawing>
      </w:r>
    </w:p>
    <w:p w:rsidR="00A158DC" w:rsidRPr="001C10FB" w:rsidRDefault="001C10FB" w:rsidP="00E96E4B">
      <w:pPr>
        <w:spacing w:after="0" w:line="240" w:lineRule="auto"/>
        <w:rPr>
          <w:rFonts w:ascii="Times New Roman" w:hAnsi="Times New Roman"/>
          <w:sz w:val="16"/>
          <w:szCs w:val="16"/>
        </w:rPr>
      </w:pPr>
      <w:r w:rsidRPr="001C10FB">
        <w:rPr>
          <w:rFonts w:ascii="Times New Roman" w:hAnsi="Times New Roman"/>
          <w:sz w:val="16"/>
          <w:szCs w:val="16"/>
        </w:rPr>
        <w:t>Photos courtesy of Tony Grover</w:t>
      </w:r>
    </w:p>
    <w:p w:rsidR="00A158DC" w:rsidRPr="00B44276" w:rsidRDefault="00A158DC" w:rsidP="00E96E4B">
      <w:pPr>
        <w:spacing w:after="0" w:line="240" w:lineRule="auto"/>
        <w:rPr>
          <w:rFonts w:ascii="Times New Roman" w:hAnsi="Times New Roman"/>
          <w:b/>
          <w:sz w:val="24"/>
          <w:szCs w:val="24"/>
        </w:rPr>
      </w:pPr>
    </w:p>
    <w:p w:rsidR="001D15FE" w:rsidRDefault="001D15FE" w:rsidP="001D15FE">
      <w:pPr>
        <w:spacing w:after="0" w:line="240" w:lineRule="auto"/>
        <w:rPr>
          <w:rFonts w:ascii="Times New Roman" w:hAnsi="Times New Roman"/>
          <w:sz w:val="24"/>
          <w:szCs w:val="24"/>
        </w:rPr>
      </w:pPr>
      <w:r w:rsidRPr="001D15FE">
        <w:rPr>
          <w:rFonts w:ascii="Times New Roman" w:hAnsi="Times New Roman"/>
          <w:sz w:val="24"/>
          <w:szCs w:val="24"/>
        </w:rPr>
        <w:t xml:space="preserve">Staff at PSMFC and subcontracting agencies also provided leadership in other projects in 2014, including implementation of a BPA initiative to ensure that data </w:t>
      </w:r>
      <w:r w:rsidR="00301F2E">
        <w:rPr>
          <w:rFonts w:ascii="Times New Roman" w:hAnsi="Times New Roman"/>
          <w:sz w:val="24"/>
          <w:szCs w:val="24"/>
        </w:rPr>
        <w:t xml:space="preserve">collected with BPA funding </w:t>
      </w:r>
      <w:bookmarkStart w:id="0" w:name="_GoBack"/>
      <w:bookmarkEnd w:id="0"/>
      <w:r w:rsidRPr="001D15FE">
        <w:rPr>
          <w:rFonts w:ascii="Times New Roman" w:hAnsi="Times New Roman"/>
          <w:sz w:val="24"/>
          <w:szCs w:val="24"/>
        </w:rPr>
        <w:t xml:space="preserve">were protected in secure data repositories. StreamNet made revisions to the Data Store to make it more accessible as a “Repository of Last Resort” for any BPA projects without </w:t>
      </w:r>
      <w:r w:rsidR="00301F2E">
        <w:rPr>
          <w:rFonts w:ascii="Times New Roman" w:hAnsi="Times New Roman"/>
          <w:sz w:val="24"/>
          <w:szCs w:val="24"/>
        </w:rPr>
        <w:t>spec</w:t>
      </w:r>
      <w:r w:rsidR="00301F2E" w:rsidRPr="001D15FE">
        <w:rPr>
          <w:rFonts w:ascii="Times New Roman" w:hAnsi="Times New Roman"/>
          <w:sz w:val="24"/>
          <w:szCs w:val="24"/>
        </w:rPr>
        <w:t xml:space="preserve">ified </w:t>
      </w:r>
      <w:r w:rsidRPr="001D15FE">
        <w:rPr>
          <w:rFonts w:ascii="Times New Roman" w:hAnsi="Times New Roman"/>
          <w:sz w:val="24"/>
          <w:szCs w:val="24"/>
        </w:rPr>
        <w:t>repositories that were identified in the 2013 Database Backup Assessment and Inventory. Staff also provided leadership and support for a successful workshop on hand held technology for fish data projects in collaboration with PNAMP and Sitka Technologies. This was a direct outgrowth of the Device Trials project which was instituted to test automated data flow and hardware capability in field projects. StreamNet staff also led a database integration workshop involving the BPA-sponsored data management projects located at PSMFC. Improvements were made to multiple systems as a direct result.</w:t>
      </w:r>
    </w:p>
    <w:p w:rsidR="001D15FE" w:rsidRPr="001D15FE" w:rsidRDefault="001D15FE" w:rsidP="001D15FE">
      <w:pPr>
        <w:spacing w:after="0" w:line="240" w:lineRule="auto"/>
        <w:rPr>
          <w:rFonts w:ascii="Times New Roman" w:hAnsi="Times New Roman"/>
          <w:sz w:val="24"/>
          <w:szCs w:val="24"/>
        </w:rPr>
      </w:pPr>
    </w:p>
    <w:p w:rsidR="00A158DC" w:rsidRDefault="001D15FE" w:rsidP="00FC5BAC">
      <w:pPr>
        <w:spacing w:after="0" w:line="240" w:lineRule="auto"/>
        <w:rPr>
          <w:rFonts w:ascii="Times New Roman" w:hAnsi="Times New Roman"/>
          <w:sz w:val="24"/>
          <w:szCs w:val="24"/>
        </w:rPr>
      </w:pPr>
      <w:r w:rsidRPr="001D15FE">
        <w:rPr>
          <w:rFonts w:ascii="Times New Roman" w:hAnsi="Times New Roman"/>
          <w:sz w:val="24"/>
          <w:szCs w:val="24"/>
        </w:rPr>
        <w:t>The StreamNet subprojects in the state agencies all contributed to development or improvement of agency data storage systems in 2014. Additional resources were allocated to partners at ODFW, IDFG, and WDFW through cost savings made at PSMFC. This was made possible in part through PSMFC assumption of additional BPA contract</w:t>
      </w:r>
      <w:r w:rsidR="00FC5BAC">
        <w:rPr>
          <w:rFonts w:ascii="Times New Roman" w:hAnsi="Times New Roman"/>
          <w:sz w:val="24"/>
          <w:szCs w:val="24"/>
        </w:rPr>
        <w:t>s in 2014, including the Habitat Evaluation Procedures project (HEP) and the Fish Data Products Project. StreamNet is also a subcontractor to WDFW for the EPA C</w:t>
      </w:r>
      <w:r w:rsidR="00301F2E">
        <w:rPr>
          <w:rFonts w:ascii="Times New Roman" w:hAnsi="Times New Roman"/>
          <w:sz w:val="24"/>
          <w:szCs w:val="24"/>
        </w:rPr>
        <w:t xml:space="preserve">oordinated </w:t>
      </w:r>
      <w:r w:rsidR="00FC5BAC">
        <w:rPr>
          <w:rFonts w:ascii="Times New Roman" w:hAnsi="Times New Roman"/>
          <w:sz w:val="24"/>
          <w:szCs w:val="24"/>
        </w:rPr>
        <w:t>A</w:t>
      </w:r>
      <w:r w:rsidR="00301F2E">
        <w:rPr>
          <w:rFonts w:ascii="Times New Roman" w:hAnsi="Times New Roman"/>
          <w:sz w:val="24"/>
          <w:szCs w:val="24"/>
        </w:rPr>
        <w:t>ssessments</w:t>
      </w:r>
      <w:r w:rsidR="00FC5BAC">
        <w:rPr>
          <w:rFonts w:ascii="Times New Roman" w:hAnsi="Times New Roman"/>
          <w:sz w:val="24"/>
          <w:szCs w:val="24"/>
        </w:rPr>
        <w:t xml:space="preserve"> grant. </w:t>
      </w:r>
    </w:p>
    <w:p w:rsidR="00A158DC" w:rsidRPr="00B44276" w:rsidRDefault="00A158DC" w:rsidP="00A158DC">
      <w:pPr>
        <w:spacing w:after="0" w:line="240" w:lineRule="auto"/>
        <w:rPr>
          <w:rFonts w:ascii="Times New Roman" w:hAnsi="Times New Roman"/>
          <w:sz w:val="24"/>
          <w:szCs w:val="24"/>
        </w:rPr>
      </w:pPr>
    </w:p>
    <w:p w:rsidR="005047D9" w:rsidRDefault="0089301E" w:rsidP="00E96E4B">
      <w:pPr>
        <w:spacing w:after="0" w:line="240" w:lineRule="auto"/>
        <w:rPr>
          <w:rFonts w:ascii="Times New Roman" w:hAnsi="Times New Roman"/>
          <w:sz w:val="24"/>
          <w:szCs w:val="24"/>
        </w:rPr>
      </w:pPr>
      <w:r>
        <w:rPr>
          <w:rFonts w:ascii="Times New Roman" w:hAnsi="Times New Roman"/>
          <w:sz w:val="24"/>
          <w:szCs w:val="24"/>
        </w:rPr>
        <w:lastRenderedPageBreak/>
        <w:t>A wide variety of data</w:t>
      </w:r>
      <w:r w:rsidR="00E96E4B" w:rsidRPr="00B44276">
        <w:rPr>
          <w:rFonts w:ascii="Times New Roman" w:hAnsi="Times New Roman"/>
          <w:sz w:val="24"/>
          <w:szCs w:val="24"/>
        </w:rPr>
        <w:t xml:space="preserve"> </w:t>
      </w:r>
      <w:r w:rsidR="001F40BF">
        <w:rPr>
          <w:rFonts w:ascii="Times New Roman" w:hAnsi="Times New Roman"/>
          <w:sz w:val="24"/>
          <w:szCs w:val="24"/>
        </w:rPr>
        <w:t>was</w:t>
      </w:r>
      <w:r w:rsidR="001F40BF" w:rsidRPr="00B44276">
        <w:rPr>
          <w:rFonts w:ascii="Times New Roman" w:hAnsi="Times New Roman"/>
          <w:sz w:val="24"/>
          <w:szCs w:val="24"/>
        </w:rPr>
        <w:t xml:space="preserve"> </w:t>
      </w:r>
      <w:r w:rsidR="00E96E4B" w:rsidRPr="00B44276">
        <w:rPr>
          <w:rFonts w:ascii="Times New Roman" w:hAnsi="Times New Roman"/>
          <w:sz w:val="24"/>
          <w:szCs w:val="24"/>
        </w:rPr>
        <w:t>disseminated through the StreamNet website in 201</w:t>
      </w:r>
      <w:r w:rsidR="00A158DC">
        <w:rPr>
          <w:rFonts w:ascii="Times New Roman" w:hAnsi="Times New Roman"/>
          <w:sz w:val="24"/>
          <w:szCs w:val="24"/>
        </w:rPr>
        <w:t>4</w:t>
      </w:r>
      <w:r w:rsidR="00E96E4B" w:rsidRPr="00B44276">
        <w:rPr>
          <w:rFonts w:ascii="Times New Roman" w:hAnsi="Times New Roman"/>
          <w:sz w:val="24"/>
          <w:szCs w:val="24"/>
        </w:rPr>
        <w:t xml:space="preserve"> (</w:t>
      </w:r>
      <w:hyperlink r:id="rId8" w:history="1">
        <w:r w:rsidR="00E96E4B" w:rsidRPr="004E6DBC">
          <w:t>www.streamnet.org</w:t>
        </w:r>
      </w:hyperlink>
      <w:r w:rsidR="00E96E4B" w:rsidRPr="004E6DBC">
        <w:rPr>
          <w:rFonts w:ascii="Times New Roman" w:hAnsi="Times New Roman"/>
          <w:sz w:val="24"/>
          <w:szCs w:val="24"/>
        </w:rPr>
        <w:t>).</w:t>
      </w:r>
      <w:r w:rsidR="00A81056" w:rsidRPr="00B44276">
        <w:rPr>
          <w:rFonts w:ascii="Times New Roman" w:hAnsi="Times New Roman"/>
          <w:sz w:val="24"/>
          <w:szCs w:val="24"/>
        </w:rPr>
        <w:t xml:space="preserve"> Overall visits to</w:t>
      </w:r>
      <w:r w:rsidR="00E96E4B" w:rsidRPr="00B44276">
        <w:rPr>
          <w:rFonts w:ascii="Times New Roman" w:hAnsi="Times New Roman"/>
          <w:sz w:val="24"/>
          <w:szCs w:val="24"/>
        </w:rPr>
        <w:t xml:space="preserve"> the site </w:t>
      </w:r>
      <w:r w:rsidR="00A158DC">
        <w:rPr>
          <w:rFonts w:ascii="Times New Roman" w:hAnsi="Times New Roman"/>
          <w:sz w:val="24"/>
          <w:szCs w:val="24"/>
        </w:rPr>
        <w:t xml:space="preserve">decreased somewhat in the </w:t>
      </w:r>
      <w:r w:rsidR="00E96E4B" w:rsidRPr="00B44276">
        <w:rPr>
          <w:rFonts w:ascii="Times New Roman" w:hAnsi="Times New Roman"/>
          <w:sz w:val="24"/>
          <w:szCs w:val="24"/>
        </w:rPr>
        <w:t>past yea</w:t>
      </w:r>
      <w:r w:rsidR="005047D9">
        <w:rPr>
          <w:rFonts w:ascii="Times New Roman" w:hAnsi="Times New Roman"/>
          <w:sz w:val="24"/>
          <w:szCs w:val="24"/>
        </w:rPr>
        <w:t>r</w:t>
      </w:r>
      <w:r w:rsidR="00A158DC">
        <w:rPr>
          <w:rFonts w:ascii="Times New Roman" w:hAnsi="Times New Roman"/>
          <w:sz w:val="24"/>
          <w:szCs w:val="24"/>
        </w:rPr>
        <w:t>, possibly because data updates have slowed and CA data has not yet been made publicly available</w:t>
      </w:r>
      <w:r w:rsidR="005047D9">
        <w:rPr>
          <w:rFonts w:ascii="Times New Roman" w:hAnsi="Times New Roman"/>
          <w:sz w:val="24"/>
          <w:szCs w:val="24"/>
        </w:rPr>
        <w:t>;</w:t>
      </w:r>
    </w:p>
    <w:p w:rsidR="005047D9" w:rsidRDefault="005047D9" w:rsidP="00E96E4B">
      <w:pPr>
        <w:spacing w:after="0" w:line="240" w:lineRule="auto"/>
        <w:rPr>
          <w:rFonts w:ascii="Times New Roman" w:hAnsi="Times New Roman"/>
          <w:sz w:val="24"/>
          <w:szCs w:val="24"/>
        </w:rPr>
      </w:pPr>
    </w:p>
    <w:p w:rsidR="005047D9" w:rsidRDefault="00A158DC" w:rsidP="00E96E4B">
      <w:pPr>
        <w:spacing w:after="0" w:line="240" w:lineRule="auto"/>
        <w:rPr>
          <w:rFonts w:ascii="Times New Roman" w:hAnsi="Times New Roman"/>
          <w:sz w:val="24"/>
          <w:szCs w:val="24"/>
        </w:rPr>
      </w:pPr>
      <w:r w:rsidRPr="004E6DBC">
        <w:rPr>
          <w:rFonts w:ascii="Times New Roman" w:hAnsi="Times New Roman"/>
          <w:noProof/>
          <w:sz w:val="24"/>
          <w:szCs w:val="24"/>
        </w:rPr>
        <w:drawing>
          <wp:inline distT="0" distB="0" distL="0" distR="0" wp14:anchorId="2253BAA3" wp14:editId="012BC3A1">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047D9" w:rsidRDefault="005047D9" w:rsidP="00E96E4B">
      <w:pPr>
        <w:spacing w:after="0" w:line="240" w:lineRule="auto"/>
        <w:rPr>
          <w:rFonts w:ascii="Times New Roman" w:hAnsi="Times New Roman"/>
          <w:sz w:val="24"/>
          <w:szCs w:val="24"/>
        </w:rPr>
      </w:pPr>
    </w:p>
    <w:p w:rsidR="005047D9" w:rsidRDefault="005047D9" w:rsidP="00E96E4B">
      <w:pPr>
        <w:spacing w:after="0" w:line="240" w:lineRule="auto"/>
        <w:rPr>
          <w:rFonts w:ascii="Times New Roman" w:hAnsi="Times New Roman"/>
          <w:sz w:val="24"/>
          <w:szCs w:val="24"/>
        </w:rPr>
      </w:pPr>
    </w:p>
    <w:p w:rsidR="00450FD7" w:rsidRDefault="001D15FE" w:rsidP="00E96E4B">
      <w:pPr>
        <w:spacing w:after="0" w:line="240" w:lineRule="auto"/>
        <w:rPr>
          <w:rFonts w:ascii="Times New Roman" w:hAnsi="Times New Roman"/>
          <w:sz w:val="24"/>
          <w:szCs w:val="24"/>
        </w:rPr>
      </w:pPr>
      <w:r w:rsidRPr="001D15FE">
        <w:rPr>
          <w:rFonts w:ascii="Times New Roman" w:hAnsi="Times New Roman"/>
          <w:sz w:val="24"/>
          <w:szCs w:val="24"/>
        </w:rPr>
        <w:t>2014 was the first year of the project’s Executive Committee. Management and policy level specialists at tribes, states, and federal agencies were recruited to serve on this group. Their primary function is to provide guidance and leadership to the StreamNet project to ensure that data management resources and work efforts are aligned with agency and regional priorities. The initial accomplishments of the group included drafting of a Strategic Plan for StreamNet and establishing FY 2015 priorities for the CA project.</w:t>
      </w:r>
      <w:r w:rsidR="00FD5BA9">
        <w:rPr>
          <w:rFonts w:ascii="Times New Roman" w:hAnsi="Times New Roman"/>
          <w:sz w:val="24"/>
          <w:szCs w:val="24"/>
        </w:rPr>
        <w:t xml:space="preserve"> </w:t>
      </w:r>
    </w:p>
    <w:p w:rsidR="00D87754" w:rsidRDefault="00D87754" w:rsidP="00E96E4B">
      <w:pPr>
        <w:spacing w:after="0" w:line="240" w:lineRule="auto"/>
        <w:rPr>
          <w:rFonts w:ascii="Times New Roman" w:hAnsi="Times New Roman"/>
          <w:sz w:val="24"/>
          <w:szCs w:val="24"/>
        </w:rPr>
      </w:pPr>
    </w:p>
    <w:p w:rsidR="00D87754" w:rsidRPr="00B44276" w:rsidRDefault="00D87754" w:rsidP="00E96E4B">
      <w:pPr>
        <w:spacing w:after="0" w:line="240" w:lineRule="auto"/>
        <w:rPr>
          <w:rFonts w:ascii="Times New Roman" w:hAnsi="Times New Roman"/>
          <w:sz w:val="24"/>
          <w:szCs w:val="24"/>
        </w:rPr>
      </w:pPr>
      <w:r>
        <w:rPr>
          <w:noProof/>
        </w:rPr>
        <w:drawing>
          <wp:inline distT="0" distB="0" distL="0" distR="0" wp14:anchorId="16C7183F" wp14:editId="6EF9E4FA">
            <wp:extent cx="5943600" cy="3216275"/>
            <wp:effectExtent l="0" t="0" r="0" b="317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cstate="print"/>
                    <a:stretch>
                      <a:fillRect/>
                    </a:stretch>
                  </pic:blipFill>
                  <pic:spPr>
                    <a:xfrm>
                      <a:off x="0" y="0"/>
                      <a:ext cx="5943600" cy="3216275"/>
                    </a:xfrm>
                    <a:prstGeom prst="rect">
                      <a:avLst/>
                    </a:prstGeom>
                  </pic:spPr>
                </pic:pic>
              </a:graphicData>
            </a:graphic>
          </wp:inline>
        </w:drawing>
      </w:r>
    </w:p>
    <w:sectPr w:rsidR="00D87754" w:rsidRPr="00B44276" w:rsidSect="00024FFE">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5277B4"/>
    <w:multiLevelType w:val="hybridMultilevel"/>
    <w:tmpl w:val="267004A8"/>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8E55BBF"/>
    <w:multiLevelType w:val="hybridMultilevel"/>
    <w:tmpl w:val="0F626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06D"/>
    <w:rsid w:val="00001336"/>
    <w:rsid w:val="0000484D"/>
    <w:rsid w:val="00024FFE"/>
    <w:rsid w:val="00090666"/>
    <w:rsid w:val="00097296"/>
    <w:rsid w:val="00127B42"/>
    <w:rsid w:val="001853E8"/>
    <w:rsid w:val="00191D52"/>
    <w:rsid w:val="001C10FB"/>
    <w:rsid w:val="001D15FE"/>
    <w:rsid w:val="001F40BF"/>
    <w:rsid w:val="002262DF"/>
    <w:rsid w:val="00301F2E"/>
    <w:rsid w:val="003B7FE2"/>
    <w:rsid w:val="00405119"/>
    <w:rsid w:val="00450FD7"/>
    <w:rsid w:val="00466CD0"/>
    <w:rsid w:val="004E6DBC"/>
    <w:rsid w:val="005047D9"/>
    <w:rsid w:val="0053685F"/>
    <w:rsid w:val="0055151E"/>
    <w:rsid w:val="0056512E"/>
    <w:rsid w:val="005A3DBC"/>
    <w:rsid w:val="006037C5"/>
    <w:rsid w:val="00606804"/>
    <w:rsid w:val="006349D1"/>
    <w:rsid w:val="006433D2"/>
    <w:rsid w:val="00643F75"/>
    <w:rsid w:val="006557BA"/>
    <w:rsid w:val="00684D0B"/>
    <w:rsid w:val="006E03D9"/>
    <w:rsid w:val="0076255F"/>
    <w:rsid w:val="0078111A"/>
    <w:rsid w:val="007A2321"/>
    <w:rsid w:val="008020B7"/>
    <w:rsid w:val="00825677"/>
    <w:rsid w:val="00853C4C"/>
    <w:rsid w:val="00883E7F"/>
    <w:rsid w:val="0089301E"/>
    <w:rsid w:val="008B6492"/>
    <w:rsid w:val="008D3559"/>
    <w:rsid w:val="00914CE9"/>
    <w:rsid w:val="00942127"/>
    <w:rsid w:val="00947779"/>
    <w:rsid w:val="00963DE9"/>
    <w:rsid w:val="009A71BE"/>
    <w:rsid w:val="00A1541E"/>
    <w:rsid w:val="00A158DC"/>
    <w:rsid w:val="00A47AE9"/>
    <w:rsid w:val="00A56907"/>
    <w:rsid w:val="00A81056"/>
    <w:rsid w:val="00AC4357"/>
    <w:rsid w:val="00AF7794"/>
    <w:rsid w:val="00B05C0C"/>
    <w:rsid w:val="00B15396"/>
    <w:rsid w:val="00B3706D"/>
    <w:rsid w:val="00B44276"/>
    <w:rsid w:val="00BA3E25"/>
    <w:rsid w:val="00BD7726"/>
    <w:rsid w:val="00D34E55"/>
    <w:rsid w:val="00D87754"/>
    <w:rsid w:val="00E07E76"/>
    <w:rsid w:val="00E96E4B"/>
    <w:rsid w:val="00EC0B93"/>
    <w:rsid w:val="00EC58E7"/>
    <w:rsid w:val="00F0727A"/>
    <w:rsid w:val="00F90F68"/>
    <w:rsid w:val="00F95A5F"/>
    <w:rsid w:val="00FB462D"/>
    <w:rsid w:val="00FC04E7"/>
    <w:rsid w:val="00FC5BAC"/>
    <w:rsid w:val="00FC7AE3"/>
    <w:rsid w:val="00FD5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5B7750-17D2-4E1B-ABC4-99510D85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51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3706D"/>
    <w:rPr>
      <w:color w:val="0000FF"/>
      <w:u w:val="single"/>
    </w:rPr>
  </w:style>
  <w:style w:type="paragraph" w:styleId="BalloonText">
    <w:name w:val="Balloon Text"/>
    <w:basedOn w:val="Normal"/>
    <w:link w:val="BalloonTextChar"/>
    <w:uiPriority w:val="99"/>
    <w:semiHidden/>
    <w:unhideWhenUsed/>
    <w:rsid w:val="00684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D0B"/>
    <w:rPr>
      <w:rFonts w:ascii="Tahoma" w:hAnsi="Tahoma" w:cs="Tahoma"/>
      <w:sz w:val="16"/>
      <w:szCs w:val="16"/>
    </w:rPr>
  </w:style>
  <w:style w:type="table" w:customStyle="1" w:styleId="TableGrid1">
    <w:name w:val="Table Grid1"/>
    <w:basedOn w:val="TableNormal"/>
    <w:next w:val="TableGrid"/>
    <w:uiPriority w:val="39"/>
    <w:rsid w:val="001D15F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D15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reamnet.org"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StreamNet</a:t>
            </a:r>
            <a:r>
              <a:rPr lang="en-US" baseline="0"/>
              <a:t> Usage</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1"/>
          <c:order val="0"/>
          <c:tx>
            <c:v>Unique Visitors</c:v>
          </c:tx>
          <c:spPr>
            <a:solidFill>
              <a:schemeClr val="accent2"/>
            </a:solidFill>
            <a:ln>
              <a:noFill/>
            </a:ln>
            <a:effectLst/>
          </c:spPr>
          <c:cat>
            <c:numRef>
              <c:f>Summary!$L$12:$Q$12</c:f>
              <c:numCache>
                <c:formatCode>General</c:formatCode>
                <c:ptCount val="6"/>
                <c:pt idx="0">
                  <c:v>2009</c:v>
                </c:pt>
                <c:pt idx="1">
                  <c:v>2010</c:v>
                </c:pt>
                <c:pt idx="2">
                  <c:v>2011</c:v>
                </c:pt>
                <c:pt idx="3">
                  <c:v>2012</c:v>
                </c:pt>
                <c:pt idx="4">
                  <c:v>2013</c:v>
                </c:pt>
                <c:pt idx="5">
                  <c:v>2014</c:v>
                </c:pt>
              </c:numCache>
            </c:numRef>
          </c:cat>
          <c:val>
            <c:numRef>
              <c:f>Summary!$L$14:$Q$14</c:f>
              <c:numCache>
                <c:formatCode>#,##0</c:formatCode>
                <c:ptCount val="6"/>
                <c:pt idx="0">
                  <c:v>11578</c:v>
                </c:pt>
                <c:pt idx="1">
                  <c:v>23029</c:v>
                </c:pt>
                <c:pt idx="2" formatCode="General">
                  <c:v>25169</c:v>
                </c:pt>
                <c:pt idx="3" formatCode="General">
                  <c:v>27163</c:v>
                </c:pt>
                <c:pt idx="4" formatCode="General">
                  <c:v>44798</c:v>
                </c:pt>
                <c:pt idx="5" formatCode="General">
                  <c:v>39171</c:v>
                </c:pt>
              </c:numCache>
            </c:numRef>
          </c:val>
        </c:ser>
        <c:ser>
          <c:idx val="2"/>
          <c:order val="1"/>
          <c:tx>
            <c:v>Total Visitors</c:v>
          </c:tx>
          <c:spPr>
            <a:solidFill>
              <a:schemeClr val="accent3"/>
            </a:solidFill>
            <a:ln>
              <a:noFill/>
            </a:ln>
            <a:effectLst/>
          </c:spPr>
          <c:cat>
            <c:numRef>
              <c:f>Summary!$L$12:$Q$12</c:f>
              <c:numCache>
                <c:formatCode>General</c:formatCode>
                <c:ptCount val="6"/>
                <c:pt idx="0">
                  <c:v>2009</c:v>
                </c:pt>
                <c:pt idx="1">
                  <c:v>2010</c:v>
                </c:pt>
                <c:pt idx="2">
                  <c:v>2011</c:v>
                </c:pt>
                <c:pt idx="3">
                  <c:v>2012</c:v>
                </c:pt>
                <c:pt idx="4">
                  <c:v>2013</c:v>
                </c:pt>
                <c:pt idx="5">
                  <c:v>2014</c:v>
                </c:pt>
              </c:numCache>
            </c:numRef>
          </c:cat>
          <c:val>
            <c:numRef>
              <c:f>Summary!$L$15:$Q$15</c:f>
              <c:numCache>
                <c:formatCode>#,##0</c:formatCode>
                <c:ptCount val="6"/>
                <c:pt idx="0">
                  <c:v>6983</c:v>
                </c:pt>
                <c:pt idx="1">
                  <c:v>13924</c:v>
                </c:pt>
                <c:pt idx="2" formatCode="General">
                  <c:v>16586</c:v>
                </c:pt>
                <c:pt idx="3" formatCode="General">
                  <c:v>19291</c:v>
                </c:pt>
                <c:pt idx="4" formatCode="General">
                  <c:v>36683</c:v>
                </c:pt>
                <c:pt idx="5" formatCode="General">
                  <c:v>31424</c:v>
                </c:pt>
              </c:numCache>
            </c:numRef>
          </c:val>
        </c:ser>
        <c:ser>
          <c:idx val="3"/>
          <c:order val="2"/>
          <c:tx>
            <c:v>Pageviews</c:v>
          </c:tx>
          <c:spPr>
            <a:solidFill>
              <a:schemeClr val="accent4"/>
            </a:solidFill>
            <a:ln>
              <a:noFill/>
            </a:ln>
            <a:effectLst/>
          </c:spPr>
          <c:cat>
            <c:numRef>
              <c:f>Summary!$L$12:$Q$12</c:f>
              <c:numCache>
                <c:formatCode>General</c:formatCode>
                <c:ptCount val="6"/>
                <c:pt idx="0">
                  <c:v>2009</c:v>
                </c:pt>
                <c:pt idx="1">
                  <c:v>2010</c:v>
                </c:pt>
                <c:pt idx="2">
                  <c:v>2011</c:v>
                </c:pt>
                <c:pt idx="3">
                  <c:v>2012</c:v>
                </c:pt>
                <c:pt idx="4">
                  <c:v>2013</c:v>
                </c:pt>
                <c:pt idx="5">
                  <c:v>2014</c:v>
                </c:pt>
              </c:numCache>
            </c:numRef>
          </c:cat>
          <c:val>
            <c:numRef>
              <c:f>Summary!$L$16:$Q$16</c:f>
              <c:numCache>
                <c:formatCode>#,##0</c:formatCode>
                <c:ptCount val="6"/>
                <c:pt idx="0">
                  <c:v>26261</c:v>
                </c:pt>
                <c:pt idx="1">
                  <c:v>49725</c:v>
                </c:pt>
                <c:pt idx="2" formatCode="General">
                  <c:v>63186</c:v>
                </c:pt>
                <c:pt idx="3" formatCode="General">
                  <c:v>66686</c:v>
                </c:pt>
                <c:pt idx="4" formatCode="General">
                  <c:v>89681</c:v>
                </c:pt>
                <c:pt idx="5" formatCode="General">
                  <c:v>75112</c:v>
                </c:pt>
              </c:numCache>
            </c:numRef>
          </c:val>
        </c:ser>
        <c:dLbls>
          <c:showLegendKey val="0"/>
          <c:showVal val="0"/>
          <c:showCatName val="0"/>
          <c:showSerName val="0"/>
          <c:showPercent val="0"/>
          <c:showBubbleSize val="0"/>
        </c:dLbls>
        <c:axId val="190109344"/>
        <c:axId val="190116008"/>
      </c:areaChart>
      <c:catAx>
        <c:axId val="190109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16008"/>
        <c:crosses val="autoZero"/>
        <c:auto val="1"/>
        <c:lblAlgn val="ctr"/>
        <c:lblOffset val="100"/>
        <c:noMultiLvlLbl val="0"/>
      </c:catAx>
      <c:valAx>
        <c:axId val="190116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109344"/>
        <c:crosses val="autoZero"/>
        <c:crossBetween val="midCat"/>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B8AEB-102E-497D-81CC-CC75229FE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4430</CharactersWithSpaces>
  <SharedDoc>false</SharedDoc>
  <HLinks>
    <vt:vector size="6" baseType="variant">
      <vt:variant>
        <vt:i4>5832725</vt:i4>
      </vt:variant>
      <vt:variant>
        <vt:i4>0</vt:i4>
      </vt:variant>
      <vt:variant>
        <vt:i4>0</vt:i4>
      </vt:variant>
      <vt:variant>
        <vt:i4>5</vt:i4>
      </vt:variant>
      <vt:variant>
        <vt:lpwstr>http://www.streamnet.org/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dc:creator>
  <cp:lastModifiedBy>Chris Wheaton</cp:lastModifiedBy>
  <cp:revision>2</cp:revision>
  <dcterms:created xsi:type="dcterms:W3CDTF">2015-06-29T18:05:00Z</dcterms:created>
  <dcterms:modified xsi:type="dcterms:W3CDTF">2015-06-29T18:05:00Z</dcterms:modified>
</cp:coreProperties>
</file>